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F66D3D">
      <w:pPr>
        <w:jc w:val="center"/>
        <w:rPr>
          <w:rFonts w:ascii="宋体" w:hAnsi="宋体"/>
          <w:b/>
          <w:bCs/>
          <w:sz w:val="32"/>
          <w:szCs w:val="32"/>
        </w:rPr>
      </w:pPr>
      <w:r>
        <w:rPr>
          <w:rFonts w:hint="eastAsia" w:ascii="宋体" w:hAnsi="宋体"/>
          <w:b/>
          <w:bCs/>
          <w:sz w:val="32"/>
          <w:szCs w:val="32"/>
        </w:rPr>
        <w:t>国网蒙东电力拟</w:t>
      </w:r>
      <w:r>
        <w:rPr>
          <w:rFonts w:hint="eastAsia" w:ascii="宋体" w:hAnsi="宋体"/>
          <w:b/>
          <w:bCs/>
          <w:sz w:val="32"/>
          <w:szCs w:val="32"/>
          <w:lang w:val="en-US" w:eastAsia="zh-CN"/>
        </w:rPr>
        <w:t>提名</w:t>
      </w:r>
      <w:r>
        <w:rPr>
          <w:rFonts w:hint="eastAsia" w:ascii="宋体" w:hAnsi="宋体"/>
          <w:b/>
          <w:bCs/>
          <w:sz w:val="32"/>
          <w:szCs w:val="32"/>
        </w:rPr>
        <w:t>202</w:t>
      </w:r>
      <w:r>
        <w:rPr>
          <w:rFonts w:hint="eastAsia" w:ascii="宋体" w:hAnsi="宋体"/>
          <w:b/>
          <w:bCs/>
          <w:sz w:val="32"/>
          <w:szCs w:val="32"/>
          <w:lang w:val="en-US" w:eastAsia="zh-CN"/>
        </w:rPr>
        <w:t>6</w:t>
      </w:r>
      <w:r>
        <w:rPr>
          <w:rFonts w:hint="eastAsia" w:ascii="宋体" w:hAnsi="宋体"/>
          <w:b/>
          <w:bCs/>
          <w:sz w:val="32"/>
          <w:szCs w:val="32"/>
        </w:rPr>
        <w:t>年度自治区科技奖励项目</w:t>
      </w:r>
    </w:p>
    <w:p w14:paraId="76DBD90C">
      <w:pPr>
        <w:rPr>
          <w:rFonts w:hint="eastAsia"/>
          <w:b/>
          <w:color w:val="auto"/>
          <w:sz w:val="28"/>
          <w:szCs w:val="28"/>
          <w:lang w:val="en-US" w:eastAsia="zh-CN"/>
        </w:rPr>
      </w:pPr>
      <w:r>
        <w:rPr>
          <w:rFonts w:hint="eastAsia"/>
          <w:b/>
          <w:sz w:val="28"/>
          <w:szCs w:val="28"/>
        </w:rPr>
        <w:t>项目1：轻冰强风地区超/特高压输电线路冰灾综合防治技术及工程应用</w:t>
      </w:r>
    </w:p>
    <w:tbl>
      <w:tblPr>
        <w:tblStyle w:val="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8347"/>
      </w:tblGrid>
      <w:tr w14:paraId="0B4F6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17" w:type="dxa"/>
            <w:vAlign w:val="center"/>
          </w:tcPr>
          <w:p w14:paraId="679092A0">
            <w:pPr>
              <w:jc w:val="center"/>
              <w:rPr>
                <w:color w:val="auto"/>
                <w:szCs w:val="21"/>
              </w:rPr>
            </w:pPr>
            <w:r>
              <w:rPr>
                <w:color w:val="auto"/>
                <w:szCs w:val="21"/>
              </w:rPr>
              <w:t>项目名称</w:t>
            </w:r>
          </w:p>
        </w:tc>
        <w:tc>
          <w:tcPr>
            <w:tcW w:w="8347" w:type="dxa"/>
            <w:vAlign w:val="center"/>
          </w:tcPr>
          <w:p w14:paraId="405320CA">
            <w:pPr>
              <w:pStyle w:val="3"/>
              <w:numPr>
                <w:ilvl w:val="0"/>
                <w:numId w:val="0"/>
              </w:numPr>
              <w:spacing w:line="240" w:lineRule="auto"/>
              <w:ind w:leftChars="0"/>
              <w:outlineLvl w:val="1"/>
              <w:rPr>
                <w:rFonts w:hint="default" w:ascii="Times New Roman" w:hAnsi="Times New Roman"/>
                <w:sz w:val="21"/>
                <w:szCs w:val="21"/>
                <w:lang w:val="en-US" w:eastAsia="zh-CN"/>
              </w:rPr>
            </w:pPr>
            <w:r>
              <w:rPr>
                <w:rFonts w:hint="default" w:ascii="Times New Roman" w:hAnsi="Times New Roman"/>
                <w:sz w:val="21"/>
                <w:szCs w:val="21"/>
                <w:lang w:val="en-US" w:eastAsia="zh-CN"/>
              </w:rPr>
              <w:t>轻冰强风地区超/特高压输电线路冰灾综合防治技术及工程应用</w:t>
            </w:r>
          </w:p>
        </w:tc>
      </w:tr>
      <w:tr w14:paraId="3306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17" w:type="dxa"/>
            <w:vAlign w:val="center"/>
          </w:tcPr>
          <w:p w14:paraId="7C926BFD">
            <w:pPr>
              <w:jc w:val="center"/>
              <w:rPr>
                <w:rFonts w:hint="eastAsia" w:eastAsiaTheme="minorEastAsia"/>
                <w:color w:val="auto"/>
                <w:szCs w:val="21"/>
                <w:lang w:eastAsia="zh-CN"/>
              </w:rPr>
            </w:pPr>
            <w:r>
              <w:rPr>
                <w:rFonts w:hint="eastAsia"/>
                <w:color w:val="auto"/>
                <w:szCs w:val="21"/>
                <w:lang w:val="en-US" w:eastAsia="zh-CN"/>
              </w:rPr>
              <w:t>提名</w:t>
            </w:r>
            <w:r>
              <w:rPr>
                <w:rFonts w:hint="eastAsia"/>
                <w:color w:val="auto"/>
                <w:szCs w:val="21"/>
                <w:lang w:eastAsia="zh-CN"/>
              </w:rPr>
              <w:t>单位</w:t>
            </w:r>
          </w:p>
        </w:tc>
        <w:tc>
          <w:tcPr>
            <w:tcW w:w="8347" w:type="dxa"/>
            <w:vAlign w:val="center"/>
          </w:tcPr>
          <w:p w14:paraId="405BA3A0">
            <w:pPr>
              <w:pStyle w:val="3"/>
              <w:numPr>
                <w:ilvl w:val="0"/>
                <w:numId w:val="0"/>
              </w:numPr>
              <w:spacing w:line="240" w:lineRule="auto"/>
              <w:ind w:leftChars="0"/>
              <w:outlineLvl w:val="1"/>
              <w:rPr>
                <w:rFonts w:hint="eastAsia" w:ascii="Times New Roman" w:hAnsi="Times New Roman"/>
                <w:sz w:val="21"/>
                <w:szCs w:val="21"/>
                <w:lang w:eastAsia="zh-CN"/>
              </w:rPr>
            </w:pPr>
            <w:r>
              <w:rPr>
                <w:rFonts w:hint="eastAsia" w:ascii="Times New Roman" w:hAnsi="Times New Roman"/>
                <w:sz w:val="21"/>
                <w:szCs w:val="21"/>
                <w:lang w:eastAsia="zh-CN"/>
              </w:rPr>
              <w:t>国网内蒙古东部电力有限公司</w:t>
            </w:r>
          </w:p>
        </w:tc>
      </w:tr>
      <w:tr w14:paraId="2BE8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17" w:type="dxa"/>
            <w:vAlign w:val="center"/>
          </w:tcPr>
          <w:p w14:paraId="62B6EDA6">
            <w:pPr>
              <w:jc w:val="center"/>
              <w:rPr>
                <w:rFonts w:hint="default"/>
                <w:color w:val="auto"/>
                <w:szCs w:val="21"/>
                <w:lang w:val="en-US" w:eastAsia="zh-CN"/>
              </w:rPr>
            </w:pPr>
            <w:r>
              <w:rPr>
                <w:rFonts w:hint="eastAsia"/>
                <w:color w:val="auto"/>
                <w:szCs w:val="21"/>
                <w:lang w:val="en-US" w:eastAsia="zh-CN"/>
              </w:rPr>
              <w:t>提名意见</w:t>
            </w:r>
          </w:p>
        </w:tc>
        <w:tc>
          <w:tcPr>
            <w:tcW w:w="8347" w:type="dxa"/>
            <w:vAlign w:val="center"/>
          </w:tcPr>
          <w:p w14:paraId="056DE151">
            <w:pPr>
              <w:pStyle w:val="3"/>
              <w:numPr>
                <w:ilvl w:val="0"/>
                <w:numId w:val="0"/>
              </w:numPr>
              <w:spacing w:line="240" w:lineRule="auto"/>
              <w:ind w:leftChars="0"/>
              <w:outlineLvl w:val="1"/>
              <w:rPr>
                <w:rFonts w:hint="eastAsia" w:ascii="Times New Roman" w:hAnsi="Times New Roman"/>
                <w:sz w:val="21"/>
                <w:szCs w:val="21"/>
                <w:lang w:eastAsia="zh-CN"/>
              </w:rPr>
            </w:pPr>
            <w:r>
              <w:rPr>
                <w:rFonts w:ascii="Times New Roman" w:hAnsi="Times New Roman" w:eastAsia="宋体"/>
                <w:color w:val="auto"/>
                <w:sz w:val="21"/>
                <w:szCs w:val="36"/>
                <w:highlight w:val="none"/>
              </w:rPr>
              <w:t>本项目</w:t>
            </w:r>
            <w:r>
              <w:rPr>
                <w:rFonts w:hint="eastAsia" w:ascii="Times New Roman" w:hAnsi="Times New Roman" w:eastAsia="宋体"/>
                <w:color w:val="auto"/>
                <w:sz w:val="21"/>
                <w:szCs w:val="36"/>
                <w:highlight w:val="none"/>
                <w:lang w:val="en-US" w:eastAsia="zh-CN"/>
              </w:rPr>
              <w:t>针对</w:t>
            </w:r>
            <w:r>
              <w:rPr>
                <w:rFonts w:ascii="Times New Roman" w:hAnsi="Times New Roman" w:eastAsia="宋体"/>
                <w:color w:val="auto"/>
                <w:sz w:val="21"/>
                <w:szCs w:val="36"/>
                <w:highlight w:val="none"/>
              </w:rPr>
              <w:t>内蒙古</w:t>
            </w:r>
            <w:r>
              <w:rPr>
                <w:rFonts w:hint="eastAsia" w:ascii="Times New Roman" w:hAnsi="Times New Roman" w:eastAsia="宋体"/>
                <w:color w:val="auto"/>
                <w:sz w:val="21"/>
                <w:szCs w:val="36"/>
                <w:highlight w:val="none"/>
                <w:lang w:val="en-US" w:eastAsia="zh-CN"/>
              </w:rPr>
              <w:t>电力</w:t>
            </w:r>
            <w:r>
              <w:rPr>
                <w:rFonts w:ascii="Times New Roman" w:hAnsi="Times New Roman" w:eastAsia="宋体"/>
                <w:color w:val="auto"/>
                <w:sz w:val="21"/>
                <w:szCs w:val="36"/>
                <w:highlight w:val="none"/>
              </w:rPr>
              <w:t>外送通道</w:t>
            </w:r>
            <w:r>
              <w:rPr>
                <w:rFonts w:hint="eastAsia" w:ascii="Times New Roman" w:hAnsi="Times New Roman" w:eastAsia="宋体"/>
                <w:color w:val="auto"/>
                <w:sz w:val="21"/>
                <w:szCs w:val="36"/>
                <w:highlight w:val="none"/>
                <w:lang w:val="en-US" w:eastAsia="zh-CN"/>
              </w:rPr>
              <w:t>大范围轻冰强风诱发的输电线路振动、跳跃、舞动等动力失稳</w:t>
            </w:r>
            <w:r>
              <w:rPr>
                <w:rFonts w:ascii="Times New Roman" w:hAnsi="Times New Roman" w:eastAsia="宋体"/>
                <w:color w:val="auto"/>
                <w:sz w:val="21"/>
                <w:szCs w:val="36"/>
                <w:highlight w:val="none"/>
              </w:rPr>
              <w:t>冰风灾害防控</w:t>
            </w:r>
            <w:r>
              <w:rPr>
                <w:rFonts w:hint="eastAsia" w:ascii="Times New Roman" w:hAnsi="Times New Roman" w:eastAsia="宋体"/>
                <w:color w:val="auto"/>
                <w:sz w:val="21"/>
                <w:szCs w:val="36"/>
                <w:highlight w:val="none"/>
                <w:lang w:val="en-US" w:eastAsia="zh-CN"/>
              </w:rPr>
              <w:t>重大</w:t>
            </w:r>
            <w:r>
              <w:rPr>
                <w:rFonts w:ascii="Times New Roman" w:hAnsi="Times New Roman" w:eastAsia="宋体"/>
                <w:color w:val="auto"/>
                <w:sz w:val="21"/>
                <w:szCs w:val="36"/>
                <w:highlight w:val="none"/>
              </w:rPr>
              <w:t>需求，</w:t>
            </w:r>
            <w:r>
              <w:rPr>
                <w:rFonts w:hint="eastAsia" w:ascii="Times New Roman" w:hAnsi="Times New Roman" w:eastAsia="宋体"/>
                <w:color w:val="auto"/>
                <w:sz w:val="21"/>
                <w:szCs w:val="36"/>
                <w:highlight w:val="none"/>
                <w:lang w:val="en-US" w:eastAsia="zh-CN"/>
              </w:rPr>
              <w:t>在国家自然科学基金等项目支持下，采取</w:t>
            </w:r>
            <w:r>
              <w:rPr>
                <w:rFonts w:ascii="Times New Roman" w:hAnsi="Times New Roman" w:eastAsia="宋体"/>
                <w:color w:val="auto"/>
                <w:sz w:val="21"/>
                <w:szCs w:val="36"/>
                <w:highlight w:val="none"/>
              </w:rPr>
              <w:t>长期</w:t>
            </w:r>
            <w:r>
              <w:rPr>
                <w:rFonts w:hint="eastAsia" w:ascii="Times New Roman" w:hAnsi="Times New Roman" w:eastAsia="宋体"/>
                <w:color w:val="auto"/>
                <w:sz w:val="21"/>
                <w:szCs w:val="36"/>
                <w:highlight w:val="none"/>
                <w:lang w:val="en-US" w:eastAsia="zh-CN"/>
              </w:rPr>
              <w:t>野外</w:t>
            </w:r>
            <w:r>
              <w:rPr>
                <w:rFonts w:ascii="Times New Roman" w:hAnsi="Times New Roman" w:eastAsia="宋体"/>
                <w:color w:val="auto"/>
                <w:sz w:val="21"/>
                <w:szCs w:val="36"/>
                <w:highlight w:val="none"/>
              </w:rPr>
              <w:t>自然观测、人工气候</w:t>
            </w:r>
            <w:r>
              <w:rPr>
                <w:rFonts w:hint="eastAsia" w:ascii="Times New Roman" w:hAnsi="Times New Roman" w:eastAsia="宋体"/>
                <w:color w:val="auto"/>
                <w:sz w:val="21"/>
                <w:szCs w:val="36"/>
                <w:highlight w:val="none"/>
                <w:lang w:val="en-US" w:eastAsia="zh-CN"/>
              </w:rPr>
              <w:t>室模拟，模型建立</w:t>
            </w:r>
            <w:r>
              <w:rPr>
                <w:rFonts w:ascii="Times New Roman" w:hAnsi="Times New Roman" w:eastAsia="宋体"/>
                <w:color w:val="auto"/>
                <w:sz w:val="21"/>
                <w:szCs w:val="36"/>
                <w:highlight w:val="none"/>
              </w:rPr>
              <w:t>、数值仿真</w:t>
            </w:r>
            <w:r>
              <w:rPr>
                <w:rFonts w:hint="eastAsia" w:ascii="Times New Roman" w:hAnsi="Times New Roman" w:eastAsia="宋体"/>
                <w:color w:val="auto"/>
                <w:sz w:val="21"/>
                <w:szCs w:val="36"/>
                <w:highlight w:val="none"/>
                <w:lang w:eastAsia="zh-CN"/>
              </w:rPr>
              <w:t>，</w:t>
            </w:r>
            <w:r>
              <w:rPr>
                <w:rFonts w:hint="eastAsia" w:ascii="Times New Roman" w:hAnsi="Times New Roman" w:eastAsia="宋体"/>
                <w:color w:val="auto"/>
                <w:sz w:val="21"/>
                <w:szCs w:val="36"/>
                <w:highlight w:val="none"/>
                <w:lang w:val="en-US" w:eastAsia="zh-CN"/>
              </w:rPr>
              <w:t>示范与工程应用相结合的技术路线</w:t>
            </w:r>
            <w:r>
              <w:rPr>
                <w:rFonts w:ascii="Times New Roman" w:hAnsi="Times New Roman" w:eastAsia="宋体"/>
                <w:color w:val="auto"/>
                <w:sz w:val="21"/>
                <w:szCs w:val="36"/>
                <w:highlight w:val="none"/>
              </w:rPr>
              <w:t>，构建</w:t>
            </w:r>
            <w:r>
              <w:rPr>
                <w:rFonts w:hint="eastAsia" w:ascii="Times New Roman" w:hAnsi="Times New Roman" w:eastAsia="宋体"/>
                <w:color w:val="auto"/>
                <w:sz w:val="21"/>
                <w:szCs w:val="36"/>
                <w:highlight w:val="none"/>
                <w:lang w:val="en-US" w:eastAsia="zh-CN"/>
              </w:rPr>
              <w:t>了</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风险判别—智能监测</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防御处置</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冰风灾害防控</w:t>
            </w:r>
            <w:r>
              <w:rPr>
                <w:rFonts w:ascii="Times New Roman" w:hAnsi="Times New Roman" w:eastAsia="宋体"/>
                <w:color w:val="auto"/>
                <w:sz w:val="21"/>
                <w:szCs w:val="36"/>
                <w:highlight w:val="none"/>
              </w:rPr>
              <w:t>技术体系</w:t>
            </w:r>
            <w:r>
              <w:rPr>
                <w:rFonts w:hint="eastAsia" w:ascii="Times New Roman" w:hAnsi="Times New Roman" w:eastAsia="宋体"/>
                <w:color w:val="auto"/>
                <w:sz w:val="21"/>
                <w:szCs w:val="36"/>
                <w:highlight w:val="none"/>
                <w:lang w:eastAsia="zh-CN"/>
              </w:rPr>
              <w:t>，</w:t>
            </w:r>
            <w:r>
              <w:rPr>
                <w:rFonts w:hint="eastAsia" w:ascii="Times New Roman" w:hAnsi="Times New Roman" w:eastAsia="宋体"/>
                <w:color w:val="auto"/>
                <w:sz w:val="21"/>
                <w:szCs w:val="36"/>
                <w:highlight w:val="none"/>
                <w:lang w:val="en-US" w:eastAsia="zh-CN"/>
              </w:rPr>
              <w:t>建立了超/特高压输电线路</w:t>
            </w:r>
            <w:r>
              <w:rPr>
                <w:rFonts w:ascii="Times New Roman" w:hAnsi="Times New Roman" w:eastAsia="宋体"/>
                <w:color w:val="auto"/>
                <w:sz w:val="21"/>
                <w:szCs w:val="36"/>
                <w:highlight w:val="none"/>
              </w:rPr>
              <w:t>不</w:t>
            </w:r>
            <w:r>
              <w:rPr>
                <w:rFonts w:hint="eastAsia" w:ascii="Times New Roman" w:hAnsi="Times New Roman" w:eastAsia="宋体"/>
                <w:color w:val="auto"/>
                <w:sz w:val="21"/>
                <w:szCs w:val="36"/>
                <w:highlight w:val="none"/>
                <w:lang w:val="en-US" w:eastAsia="zh-CN"/>
              </w:rPr>
              <w:t>均衡</w:t>
            </w:r>
            <w:r>
              <w:rPr>
                <w:rFonts w:ascii="Times New Roman" w:hAnsi="Times New Roman" w:eastAsia="宋体"/>
                <w:color w:val="auto"/>
                <w:sz w:val="21"/>
                <w:szCs w:val="36"/>
                <w:highlight w:val="none"/>
              </w:rPr>
              <w:t>覆冰与</w:t>
            </w:r>
            <w:r>
              <w:rPr>
                <w:rFonts w:hint="eastAsia" w:ascii="Times New Roman" w:hAnsi="Times New Roman" w:eastAsia="宋体"/>
                <w:color w:val="auto"/>
                <w:sz w:val="21"/>
                <w:szCs w:val="36"/>
                <w:highlight w:val="none"/>
                <w:lang w:val="en-US" w:eastAsia="zh-CN"/>
              </w:rPr>
              <w:t>动态</w:t>
            </w:r>
            <w:r>
              <w:rPr>
                <w:rFonts w:ascii="Times New Roman" w:hAnsi="Times New Roman" w:eastAsia="宋体"/>
                <w:color w:val="auto"/>
                <w:sz w:val="21"/>
                <w:szCs w:val="36"/>
                <w:highlight w:val="none"/>
              </w:rPr>
              <w:t>风致失稳</w:t>
            </w:r>
            <w:r>
              <w:rPr>
                <w:rFonts w:hint="eastAsia" w:ascii="Times New Roman" w:hAnsi="Times New Roman" w:eastAsia="宋体"/>
                <w:color w:val="auto"/>
                <w:sz w:val="21"/>
                <w:szCs w:val="36"/>
                <w:highlight w:val="none"/>
                <w:lang w:val="en-US" w:eastAsia="zh-CN"/>
              </w:rPr>
              <w:t>全过程的物理数学模型，并提出其</w:t>
            </w:r>
            <w:r>
              <w:rPr>
                <w:rFonts w:ascii="Times New Roman" w:hAnsi="Times New Roman" w:eastAsia="宋体"/>
                <w:color w:val="auto"/>
                <w:sz w:val="21"/>
                <w:szCs w:val="36"/>
                <w:highlight w:val="none"/>
              </w:rPr>
              <w:t>数值</w:t>
            </w:r>
            <w:r>
              <w:rPr>
                <w:rFonts w:hint="eastAsia" w:ascii="Times New Roman" w:hAnsi="Times New Roman" w:eastAsia="宋体"/>
                <w:color w:val="auto"/>
                <w:sz w:val="21"/>
                <w:szCs w:val="36"/>
                <w:highlight w:val="none"/>
                <w:lang w:val="en-US" w:eastAsia="zh-CN"/>
              </w:rPr>
              <w:t>仿真</w:t>
            </w:r>
            <w:r>
              <w:rPr>
                <w:rFonts w:ascii="Times New Roman" w:hAnsi="Times New Roman" w:eastAsia="宋体"/>
                <w:color w:val="auto"/>
                <w:sz w:val="21"/>
                <w:szCs w:val="36"/>
                <w:highlight w:val="none"/>
              </w:rPr>
              <w:t>模拟方法，</w:t>
            </w:r>
            <w:r>
              <w:rPr>
                <w:rFonts w:hint="eastAsia" w:ascii="Times New Roman" w:hAnsi="Times New Roman" w:eastAsia="宋体"/>
                <w:color w:val="auto"/>
                <w:sz w:val="21"/>
                <w:szCs w:val="36"/>
                <w:highlight w:val="none"/>
                <w:lang w:val="en-US" w:eastAsia="zh-CN"/>
              </w:rPr>
              <w:t>揭示“轻冰+强风”致灾规律，提出其动力失稳判据，制定内蒙电网</w:t>
            </w:r>
            <w:r>
              <w:rPr>
                <w:rFonts w:ascii="Times New Roman" w:hAnsi="Times New Roman" w:eastAsia="宋体"/>
                <w:color w:val="auto"/>
                <w:sz w:val="21"/>
                <w:szCs w:val="36"/>
                <w:highlight w:val="none"/>
              </w:rPr>
              <w:t>冰风灾害</w:t>
            </w:r>
            <w:r>
              <w:rPr>
                <w:rFonts w:hint="eastAsia" w:ascii="Times New Roman" w:hAnsi="Times New Roman" w:eastAsia="宋体"/>
                <w:color w:val="auto"/>
                <w:sz w:val="21"/>
                <w:szCs w:val="36"/>
                <w:highlight w:val="none"/>
                <w:lang w:val="en-US" w:eastAsia="zh-CN"/>
              </w:rPr>
              <w:t>风险等级分布</w:t>
            </w:r>
            <w:r>
              <w:rPr>
                <w:rFonts w:ascii="Times New Roman" w:hAnsi="Times New Roman" w:eastAsia="宋体"/>
                <w:color w:val="auto"/>
                <w:sz w:val="21"/>
                <w:szCs w:val="36"/>
                <w:highlight w:val="none"/>
              </w:rPr>
              <w:t>图</w:t>
            </w:r>
            <w:r>
              <w:rPr>
                <w:rFonts w:hint="eastAsia" w:ascii="Times New Roman" w:hAnsi="Times New Roman" w:eastAsia="宋体"/>
                <w:color w:val="auto"/>
                <w:sz w:val="21"/>
                <w:szCs w:val="36"/>
                <w:highlight w:val="none"/>
                <w:lang w:eastAsia="zh-CN"/>
              </w:rPr>
              <w:t>。</w:t>
            </w:r>
            <w:r>
              <w:rPr>
                <w:rFonts w:hint="eastAsia" w:ascii="Times New Roman" w:hAnsi="Times New Roman" w:eastAsia="宋体"/>
                <w:color w:val="auto"/>
                <w:sz w:val="21"/>
                <w:szCs w:val="36"/>
                <w:highlight w:val="none"/>
                <w:lang w:val="en-US" w:eastAsia="zh-CN"/>
              </w:rPr>
              <w:t>发明了基于旋转</w:t>
            </w:r>
            <w:r>
              <w:rPr>
                <w:rFonts w:ascii="Times New Roman" w:hAnsi="Times New Roman" w:eastAsia="宋体"/>
                <w:color w:val="auto"/>
                <w:sz w:val="21"/>
                <w:szCs w:val="36"/>
                <w:highlight w:val="none"/>
              </w:rPr>
              <w:t>圆柱阵列</w:t>
            </w:r>
            <w:r>
              <w:rPr>
                <w:rFonts w:hint="eastAsia" w:ascii="Times New Roman" w:hAnsi="Times New Roman" w:eastAsia="宋体"/>
                <w:color w:val="auto"/>
                <w:sz w:val="21"/>
                <w:szCs w:val="36"/>
                <w:highlight w:val="none"/>
                <w:lang w:val="en-US" w:eastAsia="zh-CN"/>
              </w:rPr>
              <w:t>表面冰层电容</w:t>
            </w:r>
            <w:r>
              <w:rPr>
                <w:rFonts w:ascii="Times New Roman" w:hAnsi="Times New Roman" w:eastAsia="宋体"/>
                <w:color w:val="auto"/>
                <w:sz w:val="21"/>
                <w:szCs w:val="36"/>
                <w:highlight w:val="none"/>
              </w:rPr>
              <w:t>感知</w:t>
            </w:r>
            <w:r>
              <w:rPr>
                <w:rFonts w:hint="eastAsia" w:ascii="Times New Roman" w:hAnsi="Times New Roman" w:eastAsia="宋体"/>
                <w:color w:val="auto"/>
                <w:sz w:val="21"/>
                <w:szCs w:val="36"/>
                <w:highlight w:val="none"/>
                <w:lang w:val="en-US" w:eastAsia="zh-CN"/>
              </w:rPr>
              <w:t>冰层厚度和密度以及基于皮托管效应监测动态风的方法</w:t>
            </w:r>
            <w:r>
              <w:rPr>
                <w:rFonts w:hint="eastAsia" w:ascii="Times New Roman" w:hAnsi="Times New Roman" w:eastAsia="宋体"/>
                <w:color w:val="auto"/>
                <w:sz w:val="21"/>
                <w:szCs w:val="36"/>
                <w:highlight w:val="none"/>
                <w:lang w:eastAsia="zh-CN"/>
              </w:rPr>
              <w:t>，</w:t>
            </w:r>
            <w:r>
              <w:rPr>
                <w:rFonts w:hint="eastAsia" w:ascii="Times New Roman" w:hAnsi="Times New Roman" w:eastAsia="宋体"/>
                <w:color w:val="auto"/>
                <w:sz w:val="21"/>
                <w:szCs w:val="36"/>
                <w:highlight w:val="none"/>
                <w:lang w:val="en-US" w:eastAsia="zh-CN"/>
              </w:rPr>
              <w:t>研制覆冰和动态风精准监测智能置，构建了冰风灾害</w:t>
            </w:r>
            <w:r>
              <w:rPr>
                <w:rFonts w:ascii="Times New Roman" w:hAnsi="Times New Roman" w:eastAsia="宋体"/>
                <w:color w:val="auto"/>
                <w:sz w:val="21"/>
                <w:szCs w:val="36"/>
                <w:highlight w:val="none"/>
              </w:rPr>
              <w:t>预警平台；研发正交</w:t>
            </w:r>
            <w:r>
              <w:rPr>
                <w:rFonts w:hint="eastAsia" w:ascii="Times New Roman" w:hAnsi="Times New Roman" w:eastAsia="宋体"/>
                <w:color w:val="auto"/>
                <w:sz w:val="21"/>
                <w:szCs w:val="36"/>
                <w:highlight w:val="none"/>
                <w:lang w:val="en-US" w:eastAsia="zh-CN"/>
              </w:rPr>
              <w:t>双摆重锤</w:t>
            </w:r>
            <w:r>
              <w:rPr>
                <w:rFonts w:ascii="Times New Roman" w:hAnsi="Times New Roman" w:eastAsia="宋体"/>
                <w:color w:val="auto"/>
                <w:sz w:val="21"/>
                <w:szCs w:val="36"/>
                <w:highlight w:val="none"/>
              </w:rPr>
              <w:t>止扭</w:t>
            </w:r>
            <w:r>
              <w:rPr>
                <w:rFonts w:hint="eastAsia" w:ascii="Times New Roman" w:hAnsi="Times New Roman" w:eastAsia="宋体"/>
                <w:color w:val="auto"/>
                <w:sz w:val="21"/>
                <w:szCs w:val="36"/>
                <w:highlight w:val="none"/>
                <w:lang w:val="en-US" w:eastAsia="zh-CN"/>
              </w:rPr>
              <w:t>防振</w:t>
            </w:r>
            <w:r>
              <w:rPr>
                <w:rFonts w:ascii="Times New Roman" w:hAnsi="Times New Roman" w:eastAsia="宋体"/>
                <w:color w:val="auto"/>
                <w:sz w:val="21"/>
                <w:szCs w:val="36"/>
                <w:highlight w:val="none"/>
              </w:rPr>
              <w:t>、宽频耗能</w:t>
            </w:r>
            <w:r>
              <w:rPr>
                <w:rFonts w:hint="eastAsia" w:ascii="Times New Roman" w:hAnsi="Times New Roman" w:eastAsia="宋体"/>
                <w:color w:val="auto"/>
                <w:sz w:val="21"/>
                <w:szCs w:val="36"/>
                <w:highlight w:val="none"/>
                <w:lang w:val="en-US" w:eastAsia="zh-CN"/>
              </w:rPr>
              <w:t>防舞</w:t>
            </w:r>
            <w:r>
              <w:rPr>
                <w:rFonts w:ascii="Times New Roman" w:hAnsi="Times New Roman" w:eastAsia="宋体"/>
                <w:color w:val="auto"/>
                <w:sz w:val="21"/>
                <w:szCs w:val="36"/>
                <w:highlight w:val="none"/>
              </w:rPr>
              <w:t>、机器人除冰、固定牵拉电涡流阻尼及无人机快速布设垂吊调谐质量阻尼器快速止舞装备</w:t>
            </w:r>
            <w:r>
              <w:rPr>
                <w:rFonts w:hint="eastAsia" w:ascii="Times New Roman" w:hAnsi="Times New Roman" w:eastAsia="宋体"/>
                <w:color w:val="auto"/>
                <w:sz w:val="21"/>
                <w:szCs w:val="36"/>
                <w:highlight w:val="none"/>
                <w:lang w:eastAsia="zh-CN"/>
              </w:rPr>
              <w:t>，</w:t>
            </w:r>
            <w:r>
              <w:rPr>
                <w:rFonts w:hint="eastAsia" w:ascii="Times New Roman" w:hAnsi="Times New Roman" w:eastAsia="宋体"/>
                <w:color w:val="auto"/>
                <w:sz w:val="21"/>
                <w:szCs w:val="36"/>
                <w:highlight w:val="none"/>
                <w:lang w:val="en-US" w:eastAsia="zh-CN"/>
              </w:rPr>
              <w:t>建立了</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冰前主动防御</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冰期被动</w:t>
            </w:r>
            <w:r>
              <w:rPr>
                <w:rFonts w:ascii="Times New Roman" w:hAnsi="Times New Roman" w:eastAsia="宋体"/>
                <w:color w:val="auto"/>
                <w:sz w:val="21"/>
                <w:szCs w:val="36"/>
                <w:highlight w:val="none"/>
              </w:rPr>
              <w:t>除冰、</w:t>
            </w:r>
            <w:r>
              <w:rPr>
                <w:rFonts w:hint="eastAsia" w:ascii="Times New Roman" w:hAnsi="Times New Roman" w:eastAsia="宋体"/>
                <w:color w:val="auto"/>
                <w:sz w:val="21"/>
                <w:szCs w:val="36"/>
                <w:highlight w:val="none"/>
                <w:lang w:val="en-US" w:eastAsia="zh-CN"/>
              </w:rPr>
              <w:t>灾害</w:t>
            </w:r>
            <w:r>
              <w:rPr>
                <w:rFonts w:ascii="Times New Roman" w:hAnsi="Times New Roman" w:eastAsia="宋体"/>
                <w:color w:val="auto"/>
                <w:sz w:val="21"/>
                <w:szCs w:val="36"/>
                <w:highlight w:val="none"/>
              </w:rPr>
              <w:t>应急</w:t>
            </w:r>
            <w:r>
              <w:rPr>
                <w:rFonts w:hint="eastAsia" w:ascii="Times New Roman" w:hAnsi="Times New Roman" w:eastAsia="宋体"/>
                <w:color w:val="auto"/>
                <w:sz w:val="21"/>
                <w:szCs w:val="36"/>
                <w:highlight w:val="none"/>
                <w:lang w:val="en-US" w:eastAsia="zh-CN"/>
              </w:rPr>
              <w:t>处置</w:t>
            </w:r>
            <w:r>
              <w:rPr>
                <w:rFonts w:ascii="Times New Roman" w:hAnsi="Times New Roman" w:eastAsia="宋体"/>
                <w:color w:val="auto"/>
                <w:sz w:val="21"/>
                <w:szCs w:val="36"/>
                <w:highlight w:val="none"/>
              </w:rPr>
              <w:t>”</w:t>
            </w:r>
            <w:r>
              <w:rPr>
                <w:rFonts w:hint="eastAsia" w:ascii="Times New Roman" w:hAnsi="Times New Roman" w:eastAsia="宋体"/>
                <w:color w:val="auto"/>
                <w:sz w:val="21"/>
                <w:szCs w:val="36"/>
                <w:highlight w:val="none"/>
                <w:lang w:val="en-US" w:eastAsia="zh-CN"/>
              </w:rPr>
              <w:t>的超/特高压输电线路完整防控技术</w:t>
            </w:r>
            <w:r>
              <w:rPr>
                <w:rFonts w:ascii="Times New Roman" w:hAnsi="Times New Roman" w:eastAsia="宋体"/>
                <w:color w:val="auto"/>
                <w:sz w:val="21"/>
                <w:szCs w:val="36"/>
                <w:highlight w:val="none"/>
              </w:rPr>
              <w:t>体系，</w:t>
            </w:r>
            <w:r>
              <w:rPr>
                <w:rFonts w:hint="eastAsia" w:ascii="Times New Roman" w:hAnsi="Times New Roman" w:eastAsia="宋体"/>
                <w:color w:val="auto"/>
                <w:sz w:val="21"/>
                <w:szCs w:val="36"/>
                <w:highlight w:val="none"/>
                <w:lang w:val="en-US" w:eastAsia="zh-CN"/>
              </w:rPr>
              <w:t>产生了显著的经济价值和社会效益</w:t>
            </w:r>
            <w:r>
              <w:rPr>
                <w:rFonts w:hint="eastAsia" w:ascii="Times New Roman" w:hAnsi="Times New Roman"/>
                <w:color w:val="auto"/>
                <w:sz w:val="21"/>
                <w:szCs w:val="36"/>
                <w:highlight w:val="none"/>
                <w:lang w:val="en-US" w:eastAsia="zh-CN"/>
              </w:rPr>
              <w:t>，</w:t>
            </w:r>
            <w:r>
              <w:rPr>
                <w:rFonts w:hint="eastAsia" w:ascii="Times New Roman" w:hAnsi="Times New Roman"/>
                <w:sz w:val="21"/>
                <w:szCs w:val="21"/>
                <w:lang w:val="en-US" w:eastAsia="zh-CN"/>
              </w:rPr>
              <w:t>同意推荐申报2026年度内蒙古自治区科学技术进步奖一等奖。</w:t>
            </w:r>
            <w:bookmarkStart w:id="0" w:name="_GoBack"/>
            <w:bookmarkEnd w:id="0"/>
          </w:p>
        </w:tc>
      </w:tr>
      <w:tr w14:paraId="0FAB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117" w:type="dxa"/>
            <w:vAlign w:val="center"/>
          </w:tcPr>
          <w:p w14:paraId="57D97440">
            <w:pPr>
              <w:jc w:val="center"/>
              <w:rPr>
                <w:rFonts w:hint="eastAsia"/>
                <w:color w:val="auto"/>
                <w:szCs w:val="21"/>
                <w:lang w:val="en-US" w:eastAsia="zh-CN"/>
              </w:rPr>
            </w:pPr>
            <w:r>
              <w:rPr>
                <w:rFonts w:hint="eastAsia"/>
                <w:color w:val="auto"/>
                <w:szCs w:val="21"/>
                <w:lang w:val="en-US" w:eastAsia="zh-CN"/>
              </w:rPr>
              <w:t>主要知识产权和标准规范目录</w:t>
            </w:r>
          </w:p>
        </w:tc>
        <w:tc>
          <w:tcPr>
            <w:tcW w:w="8347" w:type="dxa"/>
            <w:vAlign w:val="center"/>
          </w:tcPr>
          <w:p w14:paraId="27145C2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1.专利名称：Emergencypreventiondevice andmethod forgallopingof ice-coatedtransmission line；中国；F/PT/C/0/2022025-5/166602-27；国网内蒙古东部电力有限公司、湖南大学、国家电网有限公司；李彦吉、毛光辉、李丹煜、杨峥、朱宽军、尚鑫、祝永弘、除政清、李晨、范文琪、张宏瓜、菜淼、易杰、金欢、雪城、吴闯；有效。</w:t>
            </w:r>
          </w:p>
          <w:p w14:paraId="056483C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2.专利名称：基于粒子群算法的覆冰参数计算方法；中国；ZL 2019 1 1410504.X；国家电网有限公司、国网内蒙古东部电力有限公司检修分公司、重庆大学、重庆地格科技有限责任公司；史文江、蒋兴良、李猛克、张志劲、王泽禹、祝永坤、张超、张树围、康春泉、于明星、任致远；有效。</w:t>
            </w:r>
          </w:p>
          <w:p w14:paraId="6A089E4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3.专利名称：提高放线张力抑制导线扭转的防止输电线路覆冰的方法；中国；ZL 2019 1 1410474.2；国家电网有限公司、国网内蒙古东部电力有限公司检修分公司、重庆大学、重庆地格科技有限责任公司；王远东、蒋兴良、王永峰、张志劲、丁仁杰、张振勇、陈晶、张天歌、勾雪冉、李吉楠；有效。</w:t>
            </w:r>
          </w:p>
          <w:p w14:paraId="6817F08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4.专利名称：一种防舞器摆锤以及包括防舞器摆锤的多向防舞器；中国；ZL 2019 1 1191232.9；中国电力科学研究院有限公司、国家电网有限公司、国网天津市电力公司；赵彬、杨加伦、张立春、程永锋、王景朝、费香泽、展雪萍、李鹏、姬昆鹏；有效。</w:t>
            </w:r>
          </w:p>
          <w:p w14:paraId="7096966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5.专利名称：一种基于覆冰厚度动态匹配输电线路导体覆冰预测方法；中国；ZL 2024 1 0072588.5；重庆大学；杨国林、蒋兴良、张志劲、胡建林、胡琴、李雨泰、郑华龙；有效。</w:t>
            </w:r>
          </w:p>
          <w:p w14:paraId="4D2975D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6.专利名称：抑制导线扭转和舞动的分布式重锤布置方法；中国；ZL 2020 1 1282827.8；国家电网、重庆电力公司、重庆地格科技、重庆大学；张志劲、蒋兴良、等；有效。</w:t>
            </w:r>
          </w:p>
          <w:p w14:paraId="087D98B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7.专利名称：基于三电极圆柱阵列冰容效应的冰层厚度与密度的检测方法；中国；ZL 2022 1 0987143.0；重庆大学，重庆地格科技有限责任公司；董莉娜、郑华龙、张志劲、胡建林、胡琴、周文轩；有效。</w:t>
            </w:r>
          </w:p>
          <w:p w14:paraId="1293226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8.专利名称：基于耗能及失谐原理的组合防舞装置；中国；ZL 2016 1 0849649.X；中国电力科学研究院、国家电网公司国网山西省电力公司电力科学研究院；司佳钧、刘龙、王景朝、周立宪、刘彬、刘胜春、李新民、刘臻李冬青、展雪萍、牛海军、赵彬、孙宝东、王二江；有效。</w:t>
            </w:r>
          </w:p>
          <w:p w14:paraId="2483511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9.专利名称：一种带有升降导轮的除冰机器人；中国；ZL 2025 1 1862993.8；国网内蒙古东部电力有限公司赤峰供电公司国家申网有限公司；张天浩、于明星、陈江波、荆浩然、李波平、王江锋、王晓明李鑫、斯钦图；有效。</w:t>
            </w:r>
          </w:p>
          <w:p w14:paraId="0EA0D53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10.专利名称：一种四分裂导线式除冰机器人；中国；ZL 2025 1 1894276.3；国网内蒙古东部电力有限公司赤峰供电公司、国家电网有限公司；张天浩、汪廷浩、甄曙光、戴佳明、孟令家、刘俊鹏、唐超、霍优福、陈雪；有效。</w:t>
            </w:r>
          </w:p>
          <w:p w14:paraId="5E2FE0B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11.专利名称：一种防舞动碰撞耗能减振装；中国；ZL 2017 1 0262547.2；山东大学；田利、易思银、刘玉萍；有效。</w:t>
            </w:r>
          </w:p>
          <w:p w14:paraId="5A8F9AD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12.专利名称：低温振颤传感器的多地同步自适应性能测试方法及系统；中国；ZL 2021 1 1477926.6；国网内蒙古东部电力有限公司、国家电网有限公司；李博、刘天奇、王坤涵、粱佳宇、安义岩、戴雨薇；有效。</w:t>
            </w:r>
          </w:p>
          <w:p w14:paraId="2909FC3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13.专利名称：一种悬垂串金具风激励振动磨损模拟试验平台；中国；ZL 2018 1 1327424.3；国网新疆电力有限公司电力科学研究院浙江大学、国网内蒙古东部电力有限公司；游溢、何成、魏燕定、罗汉武、马龙涛、祝永坤、李硕、郭金刚、李新民、刘胜春、牛海军、高官健、沈佳；有效。</w:t>
            </w:r>
          </w:p>
          <w:p w14:paraId="39533AF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14.专利名称：一种可调节谐振频率的线路防震锤；中国；ZL 2015 1 0202518.8；国家电网公司、黑龙江省电力科学研究院、国网内蒙古东部电力有限公司电力科学研究院；于春来、刘洋、朱学成、李童、张德文、柳贡强、张洪达、郭金刚；有效。</w:t>
            </w:r>
          </w:p>
          <w:p w14:paraId="3B7DC5A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lang w:val="en-US" w:eastAsia="zh-CN"/>
              </w:rPr>
            </w:pPr>
            <w:r>
              <w:rPr>
                <w:rFonts w:hint="eastAsia" w:eastAsia="宋体" w:cs="宋体"/>
                <w:lang w:val="en-US" w:eastAsia="zh-CN"/>
              </w:rPr>
              <w:t>15.专利名称：一种架空线路振动传感器的低温检测装置；中国；ZL 2015 1 0683547.0；国家电网公司、黑龙江省电力科学研究院、国网内蒙古东部电力有限公司电力科学研究院；于春来、刘洋、王志斌、张福忠、李童、孙巍、郭蕴、杨玉新；有效。</w:t>
            </w:r>
          </w:p>
        </w:tc>
      </w:tr>
      <w:tr w14:paraId="687D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17" w:type="dxa"/>
            <w:vAlign w:val="center"/>
          </w:tcPr>
          <w:p w14:paraId="7ECE80A6">
            <w:pPr>
              <w:jc w:val="center"/>
              <w:rPr>
                <w:color w:val="auto"/>
                <w:szCs w:val="21"/>
              </w:rPr>
            </w:pPr>
            <w:r>
              <w:rPr>
                <w:rFonts w:hint="eastAsia"/>
                <w:color w:val="auto"/>
                <w:szCs w:val="21"/>
                <w:lang w:val="en-US" w:eastAsia="zh-CN"/>
              </w:rPr>
              <w:t>主要</w:t>
            </w:r>
            <w:r>
              <w:rPr>
                <w:color w:val="auto"/>
                <w:szCs w:val="21"/>
              </w:rPr>
              <w:t>完成人</w:t>
            </w:r>
          </w:p>
        </w:tc>
        <w:tc>
          <w:tcPr>
            <w:tcW w:w="8347" w:type="dxa"/>
            <w:vAlign w:val="center"/>
          </w:tcPr>
          <w:p w14:paraId="6924B2E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1.王延伟，第1完成人，国网内蒙古东部电力有限公司；</w:t>
            </w:r>
          </w:p>
          <w:p w14:paraId="238B0E6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2.杨国林，第2完成人，重庆大学；</w:t>
            </w:r>
          </w:p>
          <w:p w14:paraId="633F4694">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3.尚鑫，第3完成人，国网内蒙古东部电力有限公司；</w:t>
            </w:r>
          </w:p>
          <w:p w14:paraId="5265291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4.董莉娜，第4完成人，重庆大学；</w:t>
            </w:r>
          </w:p>
          <w:p w14:paraId="6F644CF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5.祝永坤，第5完成人，国网内蒙古东部电力有限公司；</w:t>
            </w:r>
          </w:p>
          <w:p w14:paraId="36567D96">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6.司佳钧，第6完成人，国网电力工程研究院有限公司；</w:t>
            </w:r>
          </w:p>
          <w:p w14:paraId="3CA43719">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7.李博，第7完成人，国网内蒙古东部电力有限公司；</w:t>
            </w:r>
          </w:p>
          <w:p w14:paraId="2CFA361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8.周超，第8完成人，华北电力大学；</w:t>
            </w:r>
          </w:p>
          <w:p w14:paraId="6A7655A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9.赵彬，第9完成人，国网电力工程研究院有限公司；</w:t>
            </w:r>
          </w:p>
          <w:p w14:paraId="048DD30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10.田利，第10完成人，山东大学；</w:t>
            </w:r>
          </w:p>
          <w:p w14:paraId="3C01BEA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11.李鹏，第11完成人，国网电力工程研究院有限公司；</w:t>
            </w:r>
          </w:p>
          <w:p w14:paraId="31B740C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12.李童，第12完成人，国网黑龙江省电力有限公司电力科学研究院；</w:t>
            </w:r>
          </w:p>
          <w:p w14:paraId="27367CB0">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13.张天浩，第13完成人，国网内蒙古东部电力有限公司；</w:t>
            </w:r>
          </w:p>
          <w:p w14:paraId="0821C01D">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14.蒋兴良，第14完成人，重庆大学；</w:t>
            </w:r>
          </w:p>
          <w:p w14:paraId="53F4E845">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cs="宋体"/>
                <w:color w:val="auto"/>
                <w:szCs w:val="21"/>
                <w:lang w:val="en-US" w:eastAsia="zh-CN"/>
              </w:rPr>
            </w:pPr>
            <w:r>
              <w:rPr>
                <w:rFonts w:hint="eastAsia" w:cs="宋体"/>
                <w:color w:val="auto"/>
                <w:szCs w:val="21"/>
                <w:lang w:val="en-US" w:eastAsia="zh-CN"/>
              </w:rPr>
              <w:t>15.李新春，第15完成人，江东金具设备有限公司。</w:t>
            </w:r>
          </w:p>
        </w:tc>
      </w:tr>
      <w:tr w14:paraId="63A7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17" w:type="dxa"/>
            <w:vAlign w:val="center"/>
          </w:tcPr>
          <w:p w14:paraId="6A214840">
            <w:pPr>
              <w:jc w:val="center"/>
              <w:rPr>
                <w:color w:val="auto"/>
                <w:szCs w:val="21"/>
              </w:rPr>
            </w:pPr>
            <w:r>
              <w:rPr>
                <w:rFonts w:hint="eastAsia"/>
                <w:color w:val="auto"/>
                <w:szCs w:val="21"/>
                <w:lang w:val="en-US" w:eastAsia="zh-CN"/>
              </w:rPr>
              <w:t>主要</w:t>
            </w:r>
            <w:r>
              <w:rPr>
                <w:color w:val="auto"/>
                <w:szCs w:val="21"/>
              </w:rPr>
              <w:t>完成单位</w:t>
            </w:r>
          </w:p>
        </w:tc>
        <w:tc>
          <w:tcPr>
            <w:tcW w:w="8347" w:type="dxa"/>
            <w:vAlign w:val="center"/>
          </w:tcPr>
          <w:p w14:paraId="40BCF77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1.国网内蒙古东部电力有限公司</w:t>
            </w:r>
          </w:p>
          <w:p w14:paraId="2E66FF8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2.重庆大学</w:t>
            </w:r>
          </w:p>
          <w:p w14:paraId="03E027D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3.国网电力工程研究院有限公司</w:t>
            </w:r>
          </w:p>
          <w:p w14:paraId="6212498F">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4.华北电力大学</w:t>
            </w:r>
          </w:p>
          <w:p w14:paraId="1FB66A8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5.山东大学</w:t>
            </w:r>
          </w:p>
          <w:p w14:paraId="55B5527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6.国网黑龙江省电力有限公司电力科学研究院</w:t>
            </w:r>
          </w:p>
          <w:p w14:paraId="7F3D709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7.江东金具设备有限公司</w:t>
            </w:r>
          </w:p>
          <w:p w14:paraId="3660BE9E">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eastAsia="宋体" w:cs="宋体"/>
                <w:color w:val="auto"/>
                <w:szCs w:val="21"/>
                <w:lang w:val="en-US" w:eastAsia="zh-CN"/>
              </w:rPr>
            </w:pPr>
            <w:r>
              <w:rPr>
                <w:rFonts w:hint="eastAsia" w:eastAsia="宋体" w:cs="宋体"/>
                <w:color w:val="auto"/>
                <w:szCs w:val="21"/>
                <w:lang w:val="en-US" w:eastAsia="zh-CN"/>
              </w:rPr>
              <w:t>8.呼和浩特市乐驰电力设备有限公司</w:t>
            </w:r>
          </w:p>
        </w:tc>
      </w:tr>
    </w:tbl>
    <w:p w14:paraId="17690DCD">
      <w:pPr>
        <w:rPr>
          <w:rFonts w:ascii="宋体" w:hAnsi="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7D2"/>
    <w:rsid w:val="000121E9"/>
    <w:rsid w:val="00016B77"/>
    <w:rsid w:val="000438CE"/>
    <w:rsid w:val="001B2516"/>
    <w:rsid w:val="001B4249"/>
    <w:rsid w:val="001B5DBC"/>
    <w:rsid w:val="002731A5"/>
    <w:rsid w:val="002D615F"/>
    <w:rsid w:val="00320440"/>
    <w:rsid w:val="00332108"/>
    <w:rsid w:val="0036702F"/>
    <w:rsid w:val="0044564A"/>
    <w:rsid w:val="00452FF8"/>
    <w:rsid w:val="004A4900"/>
    <w:rsid w:val="004E0F39"/>
    <w:rsid w:val="00533192"/>
    <w:rsid w:val="00575818"/>
    <w:rsid w:val="005C7561"/>
    <w:rsid w:val="0060010B"/>
    <w:rsid w:val="00663F45"/>
    <w:rsid w:val="006E5623"/>
    <w:rsid w:val="0076141A"/>
    <w:rsid w:val="007D6047"/>
    <w:rsid w:val="007F6C4B"/>
    <w:rsid w:val="008374A8"/>
    <w:rsid w:val="0089324A"/>
    <w:rsid w:val="008E04EA"/>
    <w:rsid w:val="00906B33"/>
    <w:rsid w:val="0091315F"/>
    <w:rsid w:val="009E461E"/>
    <w:rsid w:val="00A25BDE"/>
    <w:rsid w:val="00A347D2"/>
    <w:rsid w:val="00B00CC0"/>
    <w:rsid w:val="00BD6316"/>
    <w:rsid w:val="00BF7694"/>
    <w:rsid w:val="00C277B5"/>
    <w:rsid w:val="00C51D82"/>
    <w:rsid w:val="00C7666F"/>
    <w:rsid w:val="00CB789C"/>
    <w:rsid w:val="00CC107D"/>
    <w:rsid w:val="00D61F86"/>
    <w:rsid w:val="00D64A3A"/>
    <w:rsid w:val="00D877D6"/>
    <w:rsid w:val="00DE7DDF"/>
    <w:rsid w:val="00DF341B"/>
    <w:rsid w:val="00DF7596"/>
    <w:rsid w:val="00E0694B"/>
    <w:rsid w:val="00E515DF"/>
    <w:rsid w:val="00EE295D"/>
    <w:rsid w:val="01AF3608"/>
    <w:rsid w:val="03970658"/>
    <w:rsid w:val="03CD4F54"/>
    <w:rsid w:val="073231EC"/>
    <w:rsid w:val="0CD319DB"/>
    <w:rsid w:val="0D3C6825"/>
    <w:rsid w:val="0E4F7234"/>
    <w:rsid w:val="0E6F727C"/>
    <w:rsid w:val="100A68DF"/>
    <w:rsid w:val="11746483"/>
    <w:rsid w:val="12682631"/>
    <w:rsid w:val="13F56ECB"/>
    <w:rsid w:val="146045B4"/>
    <w:rsid w:val="16255C3C"/>
    <w:rsid w:val="169933B0"/>
    <w:rsid w:val="19AB4015"/>
    <w:rsid w:val="19F378EA"/>
    <w:rsid w:val="1B7F6872"/>
    <w:rsid w:val="1BB60B73"/>
    <w:rsid w:val="1C3012BE"/>
    <w:rsid w:val="1D5B2643"/>
    <w:rsid w:val="1DA03B54"/>
    <w:rsid w:val="1EA639F9"/>
    <w:rsid w:val="2082054F"/>
    <w:rsid w:val="20CF6C32"/>
    <w:rsid w:val="21480A2B"/>
    <w:rsid w:val="24686A59"/>
    <w:rsid w:val="24FD0179"/>
    <w:rsid w:val="26FF428B"/>
    <w:rsid w:val="2950368E"/>
    <w:rsid w:val="29EF64A8"/>
    <w:rsid w:val="2A5B4410"/>
    <w:rsid w:val="2D123273"/>
    <w:rsid w:val="2E8D212D"/>
    <w:rsid w:val="2F6E407E"/>
    <w:rsid w:val="30FE21DF"/>
    <w:rsid w:val="31C16C91"/>
    <w:rsid w:val="31FE2753"/>
    <w:rsid w:val="340A709B"/>
    <w:rsid w:val="36226199"/>
    <w:rsid w:val="38BF3635"/>
    <w:rsid w:val="3AF86D4E"/>
    <w:rsid w:val="3B921986"/>
    <w:rsid w:val="3D2B4A8A"/>
    <w:rsid w:val="404C2229"/>
    <w:rsid w:val="410750EC"/>
    <w:rsid w:val="418F2003"/>
    <w:rsid w:val="425332DD"/>
    <w:rsid w:val="44F64AC0"/>
    <w:rsid w:val="452751D7"/>
    <w:rsid w:val="483B11E5"/>
    <w:rsid w:val="48F57AC6"/>
    <w:rsid w:val="4D437B28"/>
    <w:rsid w:val="4F16148F"/>
    <w:rsid w:val="4FA86710"/>
    <w:rsid w:val="4FE26E0E"/>
    <w:rsid w:val="545D1A0B"/>
    <w:rsid w:val="55531D9E"/>
    <w:rsid w:val="56792D6E"/>
    <w:rsid w:val="5DFC0A9B"/>
    <w:rsid w:val="5E910F2C"/>
    <w:rsid w:val="5E93384D"/>
    <w:rsid w:val="5F5A04A7"/>
    <w:rsid w:val="6025333C"/>
    <w:rsid w:val="619568CD"/>
    <w:rsid w:val="630E455D"/>
    <w:rsid w:val="661C4B3D"/>
    <w:rsid w:val="6C81640D"/>
    <w:rsid w:val="6C9E35A5"/>
    <w:rsid w:val="6F3E0348"/>
    <w:rsid w:val="6FD00B80"/>
    <w:rsid w:val="709963AE"/>
    <w:rsid w:val="712E06FF"/>
    <w:rsid w:val="73013BB9"/>
    <w:rsid w:val="73C1222C"/>
    <w:rsid w:val="742B2A79"/>
    <w:rsid w:val="74AF2AFE"/>
    <w:rsid w:val="74C45D80"/>
    <w:rsid w:val="75BE0F17"/>
    <w:rsid w:val="770056C4"/>
    <w:rsid w:val="788B7483"/>
    <w:rsid w:val="78AC51AA"/>
    <w:rsid w:val="794A6F8F"/>
    <w:rsid w:val="79FF4DD4"/>
    <w:rsid w:val="7A1A39BC"/>
    <w:rsid w:val="7AEC5D56"/>
    <w:rsid w:val="7B5371DB"/>
    <w:rsid w:val="ABFE3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Plain Text"/>
    <w:basedOn w:val="1"/>
    <w:link w:val="7"/>
    <w:qFormat/>
    <w:uiPriority w:val="0"/>
    <w:pPr>
      <w:spacing w:line="360" w:lineRule="auto"/>
      <w:ind w:firstLine="480" w:firstLineChars="200"/>
    </w:pPr>
    <w:rPr>
      <w:rFonts w:ascii="仿宋_GB2312"/>
      <w:sz w:val="24"/>
      <w:szCs w:val="22"/>
    </w:rPr>
  </w:style>
  <w:style w:type="paragraph" w:styleId="6">
    <w:name w:val="List Paragraph"/>
    <w:basedOn w:val="1"/>
    <w:unhideWhenUsed/>
    <w:qFormat/>
    <w:uiPriority w:val="99"/>
    <w:pPr>
      <w:ind w:firstLine="420" w:firstLineChars="200"/>
    </w:pPr>
  </w:style>
  <w:style w:type="character" w:customStyle="1" w:styleId="7">
    <w:name w:val="纯文本 字符"/>
    <w:basedOn w:val="5"/>
    <w:link w:val="3"/>
    <w:qFormat/>
    <w:uiPriority w:val="0"/>
    <w:rPr>
      <w:rFonts w:ascii="仿宋_GB2312" w:hAnsi="Calibri" w:eastAsia="宋体" w:cs="宋体"/>
      <w:kern w:val="2"/>
      <w:sz w:val="24"/>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md</Company>
  <Pages>3</Pages>
  <Words>2433</Words>
  <Characters>2756</Characters>
  <Lines>20</Lines>
  <Paragraphs>5</Paragraphs>
  <TotalTime>0</TotalTime>
  <ScaleCrop>false</ScaleCrop>
  <LinksUpToDate>false</LinksUpToDate>
  <CharactersWithSpaces>2802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2018-05-08T16:23:00Z</dcterms:created>
  <dc:creator>yangqq</dc:creator>
  <cp:lastModifiedBy>刘辰</cp:lastModifiedBy>
  <cp:lastPrinted>2024-12-03T13:52:00Z</cp:lastPrinted>
  <dcterms:modified xsi:type="dcterms:W3CDTF">2026-09-04T04:13:40Z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2B2B77DFBFFD44809213D28A3FD8E4C9_13</vt:lpwstr>
  </property>
  <property fmtid="{D5CDD505-2E9C-101B-9397-08002B2CF9AE}" pid="4" name="KSOTemplateDocerSaveRecord">
    <vt:lpwstr>eyJoZGlkIjoiY2VjOTQzZjM2MmFmYTEzMTcyY2EwYTEyMzNlOGNjNDIiLCJ1c2VySWQiOiIyODU3MzQyMTAifQ==</vt:lpwstr>
  </property>
</Properties>
</file>