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13FB4" w14:textId="556F647B" w:rsidR="006B3B5B" w:rsidRPr="00314ECF" w:rsidRDefault="006B3B5B" w:rsidP="006B3B5B">
      <w:pPr>
        <w:spacing w:afterLines="100" w:after="312"/>
        <w:jc w:val="center"/>
        <w:rPr>
          <w:rFonts w:ascii="Times New Roman" w:eastAsia="黑体" w:hAnsi="Times New Roman" w:cs="Times New Roman"/>
          <w:sz w:val="44"/>
          <w:szCs w:val="44"/>
        </w:rPr>
      </w:pPr>
      <w:bookmarkStart w:id="0" w:name="OLE_LINK78"/>
      <w:bookmarkStart w:id="1" w:name="OLE_LINK79"/>
      <w:bookmarkStart w:id="2" w:name="OLE_LINK14"/>
      <w:bookmarkStart w:id="3" w:name="OLE_LINK28"/>
      <w:r w:rsidRPr="00314ECF">
        <w:rPr>
          <w:rFonts w:ascii="Times New Roman" w:eastAsia="黑体" w:hAnsi="Times New Roman" w:cs="Times New Roman"/>
          <w:sz w:val="44"/>
          <w:szCs w:val="44"/>
        </w:rPr>
        <w:t>202</w:t>
      </w:r>
      <w:r w:rsidR="008167BB">
        <w:rPr>
          <w:rFonts w:ascii="Times New Roman" w:eastAsia="黑体" w:hAnsi="Times New Roman" w:cs="Times New Roman"/>
          <w:sz w:val="44"/>
          <w:szCs w:val="44"/>
        </w:rPr>
        <w:t>6</w:t>
      </w:r>
      <w:r w:rsidRPr="00314ECF">
        <w:rPr>
          <w:rFonts w:ascii="Times New Roman" w:eastAsia="黑体" w:hAnsi="Times New Roman" w:cs="Times New Roman"/>
          <w:sz w:val="44"/>
          <w:szCs w:val="44"/>
        </w:rPr>
        <w:t>年度</w:t>
      </w:r>
      <w:r w:rsidR="008167BB">
        <w:rPr>
          <w:rFonts w:ascii="Times New Roman" w:eastAsia="黑体" w:hAnsi="Times New Roman" w:cs="Times New Roman" w:hint="eastAsia"/>
          <w:sz w:val="44"/>
          <w:szCs w:val="44"/>
        </w:rPr>
        <w:t>大禹水利科学技术</w:t>
      </w:r>
      <w:r w:rsidRPr="00314ECF">
        <w:rPr>
          <w:rFonts w:ascii="Times New Roman" w:eastAsia="黑体" w:hAnsi="Times New Roman" w:cs="Times New Roman"/>
          <w:sz w:val="44"/>
          <w:szCs w:val="44"/>
        </w:rPr>
        <w:t>奖项目公示</w:t>
      </w:r>
      <w:r>
        <w:rPr>
          <w:rFonts w:ascii="Times New Roman" w:eastAsia="黑体" w:hAnsi="Times New Roman" w:cs="Times New Roman" w:hint="eastAsia"/>
          <w:sz w:val="44"/>
          <w:szCs w:val="44"/>
        </w:rPr>
        <w:t>材料</w:t>
      </w:r>
    </w:p>
    <w:p w14:paraId="5DA5BB8C" w14:textId="77777777" w:rsidR="006B3B5B" w:rsidRPr="006B5C96" w:rsidRDefault="006B3B5B" w:rsidP="006B3B5B">
      <w:pPr>
        <w:adjustRightInd w:val="0"/>
        <w:snapToGrid w:val="0"/>
        <w:spacing w:line="500" w:lineRule="exact"/>
        <w:ind w:left="640" w:hangingChars="200" w:hanging="640"/>
        <w:rPr>
          <w:rFonts w:ascii="黑体" w:eastAsia="黑体" w:hAnsi="黑体" w:cs="Times New Roman"/>
          <w:bCs/>
          <w:kern w:val="0"/>
          <w:sz w:val="32"/>
          <w:szCs w:val="32"/>
        </w:rPr>
      </w:pPr>
      <w:r w:rsidRPr="006B5C96">
        <w:rPr>
          <w:rFonts w:ascii="黑体" w:eastAsia="黑体" w:hAnsi="黑体" w:cs="Times New Roman" w:hint="eastAsia"/>
          <w:bCs/>
          <w:kern w:val="0"/>
          <w:sz w:val="32"/>
          <w:szCs w:val="32"/>
        </w:rPr>
        <w:t>一、项目名称</w:t>
      </w:r>
    </w:p>
    <w:p w14:paraId="3A18DDED" w14:textId="05CA4DCA" w:rsidR="006B3B5B" w:rsidRDefault="008167BB" w:rsidP="008167BB">
      <w:pPr>
        <w:pStyle w:val="aa"/>
        <w:spacing w:after="0" w:line="500" w:lineRule="exact"/>
        <w:ind w:firstLineChars="200" w:firstLine="560"/>
        <w:rPr>
          <w:rFonts w:eastAsia="仿宋"/>
          <w:kern w:val="0"/>
          <w:sz w:val="28"/>
          <w:szCs w:val="28"/>
        </w:rPr>
      </w:pPr>
      <w:r w:rsidRPr="008167BB">
        <w:rPr>
          <w:rFonts w:eastAsia="仿宋" w:hint="eastAsia"/>
          <w:kern w:val="0"/>
          <w:sz w:val="28"/>
          <w:szCs w:val="28"/>
        </w:rPr>
        <w:t>多闸坝河流水生境演变机理与和谐调控关键技术及应用</w:t>
      </w:r>
    </w:p>
    <w:p w14:paraId="67068E6F" w14:textId="33D65BC5" w:rsidR="006B3B5B" w:rsidRPr="006B5C96" w:rsidRDefault="006B3B5B" w:rsidP="006B3B5B">
      <w:pPr>
        <w:adjustRightInd w:val="0"/>
        <w:snapToGrid w:val="0"/>
        <w:spacing w:line="500" w:lineRule="exact"/>
        <w:ind w:left="640" w:hangingChars="200" w:hanging="640"/>
        <w:rPr>
          <w:rFonts w:ascii="黑体" w:eastAsia="黑体" w:hAnsi="黑体" w:cs="Times New Roman"/>
          <w:bCs/>
          <w:kern w:val="0"/>
          <w:sz w:val="32"/>
          <w:szCs w:val="32"/>
        </w:rPr>
      </w:pPr>
      <w:r w:rsidRPr="006B5C96">
        <w:rPr>
          <w:rFonts w:ascii="黑体" w:eastAsia="黑体" w:hAnsi="黑体" w:cs="Times New Roman" w:hint="eastAsia"/>
          <w:bCs/>
          <w:kern w:val="0"/>
          <w:sz w:val="32"/>
          <w:szCs w:val="32"/>
        </w:rPr>
        <w:t>二、提名</w:t>
      </w:r>
      <w:r w:rsidR="008167BB">
        <w:rPr>
          <w:rFonts w:ascii="黑体" w:eastAsia="黑体" w:hAnsi="黑体" w:cs="Times New Roman" w:hint="eastAsia"/>
          <w:bCs/>
          <w:kern w:val="0"/>
          <w:sz w:val="32"/>
          <w:szCs w:val="32"/>
        </w:rPr>
        <w:t>单位</w:t>
      </w:r>
    </w:p>
    <w:p w14:paraId="046B8D12" w14:textId="18FB4CCA" w:rsidR="006B3B5B" w:rsidRDefault="008167BB" w:rsidP="008167BB">
      <w:pPr>
        <w:pStyle w:val="aa"/>
        <w:spacing w:after="0" w:line="500" w:lineRule="exact"/>
        <w:ind w:firstLineChars="200" w:firstLine="560"/>
        <w:rPr>
          <w:rFonts w:eastAsia="仿宋"/>
          <w:kern w:val="0"/>
          <w:sz w:val="28"/>
          <w:szCs w:val="28"/>
        </w:rPr>
      </w:pPr>
      <w:r>
        <w:rPr>
          <w:rFonts w:eastAsia="仿宋" w:hint="eastAsia"/>
          <w:kern w:val="0"/>
          <w:sz w:val="28"/>
          <w:szCs w:val="28"/>
        </w:rPr>
        <w:t>郑州大学</w:t>
      </w:r>
    </w:p>
    <w:p w14:paraId="2D0F8BFC" w14:textId="77777777" w:rsidR="006B3B5B" w:rsidRPr="006B5C96" w:rsidRDefault="006B3B5B" w:rsidP="006B3B5B">
      <w:pPr>
        <w:adjustRightInd w:val="0"/>
        <w:snapToGrid w:val="0"/>
        <w:spacing w:line="500" w:lineRule="exact"/>
        <w:ind w:left="640" w:hangingChars="200" w:hanging="640"/>
        <w:rPr>
          <w:rFonts w:ascii="黑体" w:eastAsia="黑体" w:hAnsi="黑体" w:cs="Times New Roman"/>
          <w:bCs/>
          <w:kern w:val="0"/>
          <w:sz w:val="32"/>
          <w:szCs w:val="32"/>
        </w:rPr>
      </w:pPr>
      <w:r w:rsidRPr="006B5C96">
        <w:rPr>
          <w:rFonts w:ascii="黑体" w:eastAsia="黑体" w:hAnsi="黑体" w:cs="Times New Roman" w:hint="eastAsia"/>
          <w:bCs/>
          <w:kern w:val="0"/>
          <w:sz w:val="32"/>
          <w:szCs w:val="32"/>
        </w:rPr>
        <w:t>三、提名等级</w:t>
      </w:r>
    </w:p>
    <w:p w14:paraId="487A1A78" w14:textId="7D0F6BA6" w:rsidR="006B3B5B" w:rsidRPr="0076155E" w:rsidRDefault="008167BB" w:rsidP="008167BB">
      <w:pPr>
        <w:pStyle w:val="aa"/>
        <w:spacing w:after="0" w:line="500" w:lineRule="exact"/>
        <w:ind w:firstLineChars="200" w:firstLine="560"/>
        <w:rPr>
          <w:rFonts w:eastAsia="仿宋"/>
          <w:kern w:val="0"/>
          <w:sz w:val="28"/>
          <w:szCs w:val="28"/>
        </w:rPr>
      </w:pPr>
      <w:r>
        <w:rPr>
          <w:rFonts w:eastAsia="仿宋" w:hint="eastAsia"/>
          <w:kern w:val="0"/>
          <w:sz w:val="28"/>
          <w:szCs w:val="28"/>
        </w:rPr>
        <w:t>大禹水利</w:t>
      </w:r>
      <w:r w:rsidR="006B3B5B" w:rsidRPr="0076155E">
        <w:rPr>
          <w:rFonts w:eastAsia="仿宋" w:hint="eastAsia"/>
          <w:kern w:val="0"/>
          <w:sz w:val="28"/>
          <w:szCs w:val="28"/>
        </w:rPr>
        <w:t>科学技术</w:t>
      </w:r>
      <w:r>
        <w:rPr>
          <w:rFonts w:eastAsia="仿宋" w:hint="eastAsia"/>
          <w:kern w:val="0"/>
          <w:sz w:val="28"/>
          <w:szCs w:val="28"/>
        </w:rPr>
        <w:t>奖科技</w:t>
      </w:r>
      <w:r w:rsidR="006B3B5B" w:rsidRPr="0076155E">
        <w:rPr>
          <w:rFonts w:eastAsia="仿宋" w:hint="eastAsia"/>
          <w:kern w:val="0"/>
          <w:sz w:val="28"/>
          <w:szCs w:val="28"/>
        </w:rPr>
        <w:t>进步奖二等奖</w:t>
      </w:r>
    </w:p>
    <w:p w14:paraId="0F5658EF" w14:textId="77777777" w:rsidR="006B3B5B" w:rsidRPr="006B5C96" w:rsidRDefault="006B3B5B" w:rsidP="006B3B5B">
      <w:pPr>
        <w:adjustRightInd w:val="0"/>
        <w:snapToGrid w:val="0"/>
        <w:spacing w:line="500" w:lineRule="exact"/>
        <w:ind w:left="640" w:hangingChars="200" w:hanging="640"/>
        <w:rPr>
          <w:rFonts w:ascii="黑体" w:eastAsia="黑体" w:hAnsi="黑体" w:cs="Times New Roman"/>
          <w:bCs/>
          <w:kern w:val="0"/>
          <w:sz w:val="32"/>
          <w:szCs w:val="32"/>
        </w:rPr>
      </w:pPr>
      <w:r w:rsidRPr="006B5C96">
        <w:rPr>
          <w:rFonts w:ascii="黑体" w:eastAsia="黑体" w:hAnsi="黑体" w:cs="Times New Roman" w:hint="eastAsia"/>
          <w:bCs/>
          <w:kern w:val="0"/>
          <w:sz w:val="32"/>
          <w:szCs w:val="32"/>
        </w:rPr>
        <w:t>四、主要完成人员</w:t>
      </w:r>
    </w:p>
    <w:p w14:paraId="7E9E70D5" w14:textId="1EC1BE2A" w:rsidR="006B3B5B" w:rsidRPr="0076155E" w:rsidRDefault="008167BB" w:rsidP="008167BB">
      <w:pPr>
        <w:pStyle w:val="aa"/>
        <w:spacing w:after="0" w:line="500" w:lineRule="exact"/>
        <w:ind w:firstLineChars="200" w:firstLine="560"/>
        <w:rPr>
          <w:rFonts w:eastAsia="仿宋"/>
          <w:kern w:val="0"/>
          <w:sz w:val="28"/>
          <w:szCs w:val="28"/>
        </w:rPr>
      </w:pPr>
      <w:bookmarkStart w:id="4" w:name="OLE_LINK39"/>
      <w:bookmarkStart w:id="5" w:name="OLE_LINK40"/>
      <w:r w:rsidRPr="008167BB">
        <w:rPr>
          <w:rFonts w:eastAsia="仿宋" w:hint="eastAsia"/>
          <w:kern w:val="0"/>
          <w:sz w:val="28"/>
          <w:szCs w:val="28"/>
        </w:rPr>
        <w:t>窦明、左其亭、邹磊、张彦、乔云峰</w:t>
      </w:r>
      <w:bookmarkStart w:id="6" w:name="OLE_LINK50"/>
      <w:r w:rsidRPr="008167BB">
        <w:rPr>
          <w:rFonts w:eastAsia="仿宋" w:hint="eastAsia"/>
          <w:kern w:val="0"/>
          <w:sz w:val="28"/>
          <w:szCs w:val="28"/>
        </w:rPr>
        <w:t>、</w:t>
      </w:r>
      <w:bookmarkStart w:id="7" w:name="OLE_LINK41"/>
      <w:bookmarkStart w:id="8" w:name="OLE_LINK70"/>
      <w:bookmarkStart w:id="9" w:name="OLE_LINK65"/>
      <w:r w:rsidRPr="008167BB">
        <w:rPr>
          <w:rFonts w:eastAsia="仿宋" w:hint="eastAsia"/>
          <w:kern w:val="0"/>
          <w:sz w:val="28"/>
          <w:szCs w:val="28"/>
        </w:rPr>
        <w:t>轩晓博</w:t>
      </w:r>
      <w:bookmarkEnd w:id="7"/>
      <w:bookmarkEnd w:id="8"/>
      <w:bookmarkEnd w:id="9"/>
      <w:r w:rsidRPr="008167BB">
        <w:rPr>
          <w:rFonts w:eastAsia="仿宋" w:hint="eastAsia"/>
          <w:kern w:val="0"/>
          <w:sz w:val="28"/>
          <w:szCs w:val="28"/>
        </w:rPr>
        <w:t>、毕宏伟、张彤军</w:t>
      </w:r>
      <w:bookmarkEnd w:id="4"/>
      <w:bookmarkEnd w:id="5"/>
      <w:bookmarkEnd w:id="6"/>
      <w:r w:rsidRPr="008167BB">
        <w:rPr>
          <w:rFonts w:eastAsia="仿宋" w:hint="eastAsia"/>
          <w:kern w:val="0"/>
          <w:sz w:val="28"/>
          <w:szCs w:val="28"/>
        </w:rPr>
        <w:t>、李桂秋、王飞宇</w:t>
      </w:r>
    </w:p>
    <w:p w14:paraId="1F5B9B6F" w14:textId="77777777" w:rsidR="006B3B5B" w:rsidRPr="006B5C96" w:rsidRDefault="006B3B5B" w:rsidP="006B3B5B">
      <w:pPr>
        <w:adjustRightInd w:val="0"/>
        <w:snapToGrid w:val="0"/>
        <w:spacing w:line="500" w:lineRule="exact"/>
        <w:ind w:left="640" w:hangingChars="200" w:hanging="640"/>
        <w:rPr>
          <w:rFonts w:ascii="黑体" w:eastAsia="黑体" w:hAnsi="黑体" w:cs="Times New Roman"/>
          <w:bCs/>
          <w:kern w:val="0"/>
          <w:sz w:val="32"/>
          <w:szCs w:val="32"/>
        </w:rPr>
      </w:pPr>
      <w:r w:rsidRPr="006B5C96">
        <w:rPr>
          <w:rFonts w:ascii="黑体" w:eastAsia="黑体" w:hAnsi="黑体" w:cs="Times New Roman" w:hint="eastAsia"/>
          <w:bCs/>
          <w:kern w:val="0"/>
          <w:sz w:val="32"/>
          <w:szCs w:val="32"/>
        </w:rPr>
        <w:t>五、主要完成单位</w:t>
      </w:r>
    </w:p>
    <w:p w14:paraId="1866B523" w14:textId="6E05A435" w:rsidR="006B3B5B" w:rsidRPr="0076155E" w:rsidRDefault="008167BB" w:rsidP="008167BB">
      <w:pPr>
        <w:pStyle w:val="aa"/>
        <w:spacing w:after="0" w:line="500" w:lineRule="exact"/>
        <w:ind w:firstLineChars="200" w:firstLine="560"/>
        <w:rPr>
          <w:rFonts w:eastAsia="仿宋"/>
          <w:kern w:val="0"/>
          <w:sz w:val="28"/>
          <w:szCs w:val="28"/>
        </w:rPr>
      </w:pPr>
      <w:r w:rsidRPr="008167BB">
        <w:rPr>
          <w:rFonts w:eastAsia="仿宋" w:hint="eastAsia"/>
          <w:kern w:val="0"/>
          <w:sz w:val="28"/>
          <w:szCs w:val="28"/>
        </w:rPr>
        <w:t>郑州大学、中国科学院地理科学与资源研究所、中国农业科学院农田灌溉研究所、黄河勘测规划设计研究院有限公司、长江水利委员会水文局、华北电力大学</w:t>
      </w:r>
    </w:p>
    <w:p w14:paraId="373FC1F4" w14:textId="77777777" w:rsidR="006B3B5B" w:rsidRPr="006B5C96" w:rsidRDefault="006B3B5B" w:rsidP="006B3B5B">
      <w:pPr>
        <w:adjustRightInd w:val="0"/>
        <w:snapToGrid w:val="0"/>
        <w:spacing w:line="500" w:lineRule="exact"/>
        <w:ind w:left="640" w:hangingChars="200" w:hanging="640"/>
        <w:rPr>
          <w:rFonts w:ascii="黑体" w:eastAsia="黑体" w:hAnsi="黑体" w:cs="Times New Roman"/>
          <w:bCs/>
          <w:kern w:val="0"/>
          <w:sz w:val="32"/>
          <w:szCs w:val="32"/>
        </w:rPr>
      </w:pPr>
      <w:r w:rsidRPr="006B5C96">
        <w:rPr>
          <w:rFonts w:ascii="黑体" w:eastAsia="黑体" w:hAnsi="黑体" w:cs="Times New Roman" w:hint="eastAsia"/>
          <w:bCs/>
          <w:kern w:val="0"/>
          <w:sz w:val="32"/>
          <w:szCs w:val="32"/>
        </w:rPr>
        <w:t>六、主要成果简介</w:t>
      </w:r>
    </w:p>
    <w:p w14:paraId="240076FF" w14:textId="0E364E01" w:rsidR="006B3B5B" w:rsidRPr="006B5C96" w:rsidRDefault="006B3B5B" w:rsidP="008167BB">
      <w:pPr>
        <w:pStyle w:val="aa"/>
        <w:spacing w:after="0" w:line="500" w:lineRule="exact"/>
        <w:ind w:firstLineChars="200" w:firstLine="560"/>
        <w:rPr>
          <w:rFonts w:eastAsia="仿宋"/>
          <w:kern w:val="0"/>
          <w:sz w:val="28"/>
          <w:szCs w:val="28"/>
        </w:rPr>
      </w:pPr>
      <w:r w:rsidRPr="006B5C96">
        <w:rPr>
          <w:rFonts w:eastAsia="仿宋" w:hint="eastAsia"/>
          <w:kern w:val="0"/>
          <w:sz w:val="28"/>
          <w:szCs w:val="28"/>
        </w:rPr>
        <w:t>本项目</w:t>
      </w:r>
      <w:r w:rsidR="008167BB" w:rsidRPr="008167BB">
        <w:rPr>
          <w:rFonts w:eastAsia="仿宋" w:hint="eastAsia"/>
          <w:kern w:val="0"/>
          <w:sz w:val="28"/>
          <w:szCs w:val="28"/>
        </w:rPr>
        <w:t>针对多闸坝河流高强度扰动下水生境演变机理不清、生境退化防控手段单一、工程调度效益与生态保护难以统筹的关键科技瓶颈，围绕水生态文明建设、河流健康维护等国家重大战略需求，以淮河流域闸坝群、黄河</w:t>
      </w:r>
      <w:r w:rsidR="008167BB" w:rsidRPr="008167BB">
        <w:rPr>
          <w:rFonts w:eastAsia="仿宋"/>
          <w:kern w:val="0"/>
          <w:sz w:val="28"/>
          <w:szCs w:val="28"/>
        </w:rPr>
        <w:t>-</w:t>
      </w:r>
      <w:r w:rsidR="008167BB" w:rsidRPr="008167BB">
        <w:rPr>
          <w:rFonts w:eastAsia="仿宋" w:hint="eastAsia"/>
          <w:kern w:val="0"/>
          <w:sz w:val="28"/>
          <w:szCs w:val="28"/>
        </w:rPr>
        <w:t>沁河流域河南段、汉江梯级开发工程多闸坝水系为主要研究对象，通过十多年理论机理研究、模型技术创新与工程实践应用相结合，围绕多闸坝干扰下河流“水文连通性</w:t>
      </w:r>
      <w:r w:rsidR="008167BB" w:rsidRPr="008167BB">
        <w:rPr>
          <w:rFonts w:eastAsia="仿宋"/>
          <w:kern w:val="0"/>
          <w:sz w:val="28"/>
          <w:szCs w:val="28"/>
        </w:rPr>
        <w:t>-</w:t>
      </w:r>
      <w:r w:rsidR="008167BB" w:rsidRPr="008167BB">
        <w:rPr>
          <w:rFonts w:eastAsia="仿宋" w:hint="eastAsia"/>
          <w:kern w:val="0"/>
          <w:sz w:val="28"/>
          <w:szCs w:val="28"/>
        </w:rPr>
        <w:t>水功能完整性</w:t>
      </w:r>
      <w:r w:rsidR="008167BB" w:rsidRPr="008167BB">
        <w:rPr>
          <w:rFonts w:eastAsia="仿宋"/>
          <w:kern w:val="0"/>
          <w:sz w:val="28"/>
          <w:szCs w:val="28"/>
        </w:rPr>
        <w:t>-</w:t>
      </w:r>
      <w:r w:rsidR="008167BB" w:rsidRPr="008167BB">
        <w:rPr>
          <w:rFonts w:eastAsia="仿宋" w:hint="eastAsia"/>
          <w:kern w:val="0"/>
          <w:sz w:val="28"/>
          <w:szCs w:val="28"/>
        </w:rPr>
        <w:t>水生境适宜性”协同演变机理与人水和谐调控开展系统性攻关，形成“多闸坝河流水生境演变与和谐调控关键技术及应用”系列创新成果，主要创新点如下：（</w:t>
      </w:r>
      <w:r w:rsidR="008167BB" w:rsidRPr="008167BB">
        <w:rPr>
          <w:rFonts w:eastAsia="仿宋"/>
          <w:kern w:val="0"/>
          <w:sz w:val="28"/>
          <w:szCs w:val="28"/>
        </w:rPr>
        <w:t>1</w:t>
      </w:r>
      <w:r w:rsidR="008167BB" w:rsidRPr="008167BB">
        <w:rPr>
          <w:rFonts w:eastAsia="仿宋" w:hint="eastAsia"/>
          <w:kern w:val="0"/>
          <w:sz w:val="28"/>
          <w:szCs w:val="28"/>
        </w:rPr>
        <w:t>）创建了面向多闸坝河流的“变异节点诊断</w:t>
      </w:r>
      <w:r w:rsidR="008167BB" w:rsidRPr="008167BB">
        <w:rPr>
          <w:rFonts w:eastAsia="仿宋"/>
          <w:kern w:val="0"/>
          <w:sz w:val="28"/>
          <w:szCs w:val="28"/>
        </w:rPr>
        <w:t>—</w:t>
      </w:r>
      <w:r w:rsidR="008167BB" w:rsidRPr="008167BB">
        <w:rPr>
          <w:rFonts w:eastAsia="仿宋" w:hint="eastAsia"/>
          <w:kern w:val="0"/>
          <w:sz w:val="28"/>
          <w:szCs w:val="28"/>
        </w:rPr>
        <w:t>单要素阈值识别</w:t>
      </w:r>
      <w:r w:rsidR="008167BB" w:rsidRPr="008167BB">
        <w:rPr>
          <w:rFonts w:eastAsia="仿宋"/>
          <w:kern w:val="0"/>
          <w:sz w:val="28"/>
          <w:szCs w:val="28"/>
        </w:rPr>
        <w:t>—</w:t>
      </w:r>
      <w:r w:rsidR="008167BB" w:rsidRPr="008167BB">
        <w:rPr>
          <w:rFonts w:eastAsia="仿宋" w:hint="eastAsia"/>
          <w:kern w:val="0"/>
          <w:sz w:val="28"/>
          <w:szCs w:val="28"/>
        </w:rPr>
        <w:t>多要素分类评价”水生境要素变异诊断技术体系。</w:t>
      </w:r>
      <w:r w:rsidR="008167BB" w:rsidRPr="008167BB">
        <w:rPr>
          <w:rFonts w:eastAsia="仿宋" w:hint="eastAsia"/>
          <w:sz w:val="28"/>
          <w:szCs w:val="28"/>
        </w:rPr>
        <w:t>精准判别多闸坝河流水生境要素的时空变异节点，定量识别维持河流生态系统健康的关键生境阈值，揭示了多闸坝复合干扰下水文节律改变、水功能退化、水生境失衡与生态系统响应的协同演变规律，提出了多闸坝河流水系连通性</w:t>
      </w:r>
      <w:r w:rsidR="008167BB" w:rsidRPr="008167BB">
        <w:rPr>
          <w:rFonts w:eastAsia="仿宋" w:hint="eastAsia"/>
          <w:sz w:val="28"/>
          <w:szCs w:val="28"/>
        </w:rPr>
        <w:t>-</w:t>
      </w:r>
      <w:r w:rsidR="008167BB" w:rsidRPr="008167BB">
        <w:rPr>
          <w:rFonts w:eastAsia="仿宋" w:hint="eastAsia"/>
          <w:sz w:val="28"/>
          <w:szCs w:val="28"/>
        </w:rPr>
        <w:t>水生境适宜性</w:t>
      </w:r>
      <w:r w:rsidR="008167BB" w:rsidRPr="008167BB">
        <w:rPr>
          <w:rFonts w:eastAsia="仿宋" w:hint="eastAsia"/>
          <w:sz w:val="28"/>
          <w:szCs w:val="28"/>
        </w:rPr>
        <w:t>-</w:t>
      </w:r>
      <w:r w:rsidR="008167BB" w:rsidRPr="008167BB">
        <w:rPr>
          <w:rFonts w:eastAsia="仿宋" w:hint="eastAsia"/>
          <w:sz w:val="28"/>
          <w:szCs w:val="28"/>
        </w:rPr>
        <w:t>水功能完整性分类评价理论方法，突破了传统单因子、静态评价方法难以表征多级闸坝调控累积效应的技术瓶颈，为多闸坝河流水生态健康维持提供了理论基础与关键技术支撑。</w:t>
      </w:r>
      <w:r w:rsidR="008167BB" w:rsidRPr="008167BB">
        <w:rPr>
          <w:rFonts w:eastAsia="仿宋" w:hint="eastAsia"/>
          <w:kern w:val="0"/>
          <w:sz w:val="28"/>
          <w:szCs w:val="28"/>
        </w:rPr>
        <w:t>（</w:t>
      </w:r>
      <w:r w:rsidR="008167BB" w:rsidRPr="008167BB">
        <w:rPr>
          <w:rFonts w:eastAsia="仿宋"/>
          <w:kern w:val="0"/>
          <w:sz w:val="28"/>
          <w:szCs w:val="28"/>
        </w:rPr>
        <w:t>2</w:t>
      </w:r>
      <w:r w:rsidR="008167BB" w:rsidRPr="008167BB">
        <w:rPr>
          <w:rFonts w:eastAsia="仿宋" w:hint="eastAsia"/>
          <w:kern w:val="0"/>
          <w:sz w:val="28"/>
          <w:szCs w:val="28"/>
        </w:rPr>
        <w:t>）构建了精确刻画多闸坝河流人文系统与水系统协同演化机制的“闸坝调度</w:t>
      </w:r>
      <w:r w:rsidR="008167BB" w:rsidRPr="008167BB">
        <w:rPr>
          <w:rFonts w:eastAsia="仿宋"/>
          <w:kern w:val="0"/>
          <w:sz w:val="28"/>
          <w:szCs w:val="28"/>
        </w:rPr>
        <w:t>—</w:t>
      </w:r>
      <w:r w:rsidR="008167BB" w:rsidRPr="008167BB">
        <w:rPr>
          <w:rFonts w:eastAsia="仿宋" w:hint="eastAsia"/>
          <w:kern w:val="0"/>
          <w:sz w:val="28"/>
          <w:szCs w:val="28"/>
        </w:rPr>
        <w:t>水文变异</w:t>
      </w:r>
      <w:r w:rsidR="008167BB" w:rsidRPr="008167BB">
        <w:rPr>
          <w:rFonts w:eastAsia="仿宋"/>
          <w:kern w:val="0"/>
          <w:sz w:val="28"/>
          <w:szCs w:val="28"/>
        </w:rPr>
        <w:t>—</w:t>
      </w:r>
      <w:r w:rsidR="008167BB" w:rsidRPr="008167BB">
        <w:rPr>
          <w:rFonts w:eastAsia="仿宋" w:hint="eastAsia"/>
          <w:kern w:val="0"/>
          <w:sz w:val="28"/>
          <w:szCs w:val="28"/>
        </w:rPr>
        <w:t>生境演变</w:t>
      </w:r>
      <w:r w:rsidR="008167BB" w:rsidRPr="008167BB">
        <w:rPr>
          <w:rFonts w:eastAsia="仿宋"/>
          <w:kern w:val="0"/>
          <w:sz w:val="28"/>
          <w:szCs w:val="28"/>
        </w:rPr>
        <w:t>—</w:t>
      </w:r>
      <w:r w:rsidR="008167BB" w:rsidRPr="008167BB">
        <w:rPr>
          <w:rFonts w:eastAsia="仿宋" w:hint="eastAsia"/>
          <w:kern w:val="0"/>
          <w:sz w:val="28"/>
          <w:szCs w:val="28"/>
        </w:rPr>
        <w:t>生态演变”梯级联驱动过程模拟模型。在辨</w:t>
      </w:r>
      <w:r w:rsidR="008167BB" w:rsidRPr="008167BB">
        <w:rPr>
          <w:rFonts w:eastAsia="仿宋" w:hint="eastAsia"/>
          <w:kern w:val="0"/>
          <w:sz w:val="28"/>
          <w:szCs w:val="28"/>
        </w:rPr>
        <w:lastRenderedPageBreak/>
        <w:t>识多闸坝河流人水系统“四大过程”物理机制基础上，研发定量描述人文系统与水系统全要素协同演化模型，实现面向水文水动力、水质水温、泥沙地形以及指示性水生生物的全要素、多过程、多尺度协同模拟，突破了多闸坝叠加扰动条件下跨过程耦合模拟难题，为多闸坝河流人水系统内在作用机制探究提供了重要分析手段。（</w:t>
      </w:r>
      <w:r w:rsidR="008167BB" w:rsidRPr="008167BB">
        <w:rPr>
          <w:rFonts w:eastAsia="仿宋"/>
          <w:kern w:val="0"/>
          <w:sz w:val="28"/>
          <w:szCs w:val="28"/>
        </w:rPr>
        <w:t>3</w:t>
      </w:r>
      <w:r w:rsidR="008167BB" w:rsidRPr="008167BB">
        <w:rPr>
          <w:rFonts w:eastAsia="仿宋" w:hint="eastAsia"/>
          <w:kern w:val="0"/>
          <w:sz w:val="28"/>
          <w:szCs w:val="28"/>
        </w:rPr>
        <w:t>）提出了基于人类</w:t>
      </w:r>
      <w:r w:rsidR="008167BB" w:rsidRPr="008167BB">
        <w:rPr>
          <w:rFonts w:eastAsia="仿宋"/>
          <w:kern w:val="0"/>
          <w:sz w:val="28"/>
          <w:szCs w:val="28"/>
        </w:rPr>
        <w:t>-</w:t>
      </w:r>
      <w:r w:rsidR="008167BB" w:rsidRPr="008167BB">
        <w:rPr>
          <w:rFonts w:eastAsia="仿宋" w:hint="eastAsia"/>
          <w:kern w:val="0"/>
          <w:sz w:val="28"/>
          <w:szCs w:val="28"/>
        </w:rPr>
        <w:t>自然用水平衡规则的多闸坝河流</w:t>
      </w:r>
      <w:r w:rsidR="008167BB" w:rsidRPr="008167BB">
        <w:rPr>
          <w:rFonts w:eastAsia="仿宋"/>
          <w:kern w:val="0"/>
          <w:sz w:val="28"/>
          <w:szCs w:val="28"/>
        </w:rPr>
        <w:t>“</w:t>
      </w:r>
      <w:r w:rsidR="008167BB" w:rsidRPr="008167BB">
        <w:rPr>
          <w:rFonts w:eastAsia="仿宋" w:hint="eastAsia"/>
          <w:kern w:val="0"/>
          <w:sz w:val="28"/>
          <w:szCs w:val="28"/>
        </w:rPr>
        <w:t>适宜生境维系</w:t>
      </w:r>
      <w:r w:rsidR="008167BB" w:rsidRPr="008167BB">
        <w:rPr>
          <w:rFonts w:eastAsia="仿宋"/>
          <w:kern w:val="0"/>
          <w:sz w:val="28"/>
          <w:szCs w:val="28"/>
        </w:rPr>
        <w:t>—</w:t>
      </w:r>
      <w:r w:rsidR="008167BB" w:rsidRPr="008167BB">
        <w:rPr>
          <w:rFonts w:eastAsia="仿宋" w:hint="eastAsia"/>
          <w:kern w:val="0"/>
          <w:sz w:val="28"/>
          <w:szCs w:val="28"/>
        </w:rPr>
        <w:t>富营养化防控</w:t>
      </w:r>
      <w:r w:rsidR="008167BB" w:rsidRPr="008167BB">
        <w:rPr>
          <w:rFonts w:eastAsia="仿宋"/>
          <w:kern w:val="0"/>
          <w:sz w:val="28"/>
          <w:szCs w:val="28"/>
        </w:rPr>
        <w:t>—</w:t>
      </w:r>
      <w:r w:rsidR="008167BB" w:rsidRPr="008167BB">
        <w:rPr>
          <w:rFonts w:eastAsia="仿宋" w:hint="eastAsia"/>
          <w:kern w:val="0"/>
          <w:sz w:val="28"/>
          <w:szCs w:val="28"/>
        </w:rPr>
        <w:t>水系功能优化</w:t>
      </w:r>
      <w:r w:rsidR="008167BB" w:rsidRPr="008167BB">
        <w:rPr>
          <w:rFonts w:eastAsia="仿宋"/>
          <w:kern w:val="0"/>
          <w:sz w:val="28"/>
          <w:szCs w:val="28"/>
        </w:rPr>
        <w:t>”</w:t>
      </w:r>
      <w:r w:rsidR="008167BB" w:rsidRPr="008167BB">
        <w:rPr>
          <w:rFonts w:eastAsia="仿宋" w:hint="eastAsia"/>
          <w:kern w:val="0"/>
          <w:sz w:val="28"/>
          <w:szCs w:val="28"/>
        </w:rPr>
        <w:t>调控模式。确定流域经济社会与生态用水平衡点，研发考虑“三大准则”用水刚性需求的人水和谐调控模型，构建了单闸坝生态流量精准调控、多闸坝联动污染负荷协同削减、闸控河网结构与功能耦合优化的成套调控技术体系，提出了在新人水关系下的人水适宜性调控策略，为多闸坝河流人水和谐目标实现提供了理论方法与技术支撑。</w:t>
      </w:r>
    </w:p>
    <w:bookmarkEnd w:id="0"/>
    <w:bookmarkEnd w:id="1"/>
    <w:bookmarkEnd w:id="2"/>
    <w:bookmarkEnd w:id="3"/>
    <w:p w14:paraId="69C72A8D" w14:textId="77777777" w:rsidR="006B5C96" w:rsidRPr="00D35010" w:rsidRDefault="006B5C96" w:rsidP="00D35010">
      <w:pPr>
        <w:ind w:left="420" w:hangingChars="200" w:hanging="420"/>
      </w:pPr>
    </w:p>
    <w:sectPr w:rsidR="006B5C96" w:rsidRPr="00D35010" w:rsidSect="0037421E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F8490" w14:textId="77777777" w:rsidR="0006072D" w:rsidRDefault="0006072D" w:rsidP="00314ECF">
      <w:r>
        <w:separator/>
      </w:r>
    </w:p>
  </w:endnote>
  <w:endnote w:type="continuationSeparator" w:id="0">
    <w:p w14:paraId="5BA9A106" w14:textId="77777777" w:rsidR="0006072D" w:rsidRDefault="0006072D" w:rsidP="0031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0122C" w14:textId="77777777" w:rsidR="0006072D" w:rsidRDefault="0006072D" w:rsidP="00314ECF">
      <w:r>
        <w:separator/>
      </w:r>
    </w:p>
  </w:footnote>
  <w:footnote w:type="continuationSeparator" w:id="0">
    <w:p w14:paraId="7F8A8644" w14:textId="77777777" w:rsidR="0006072D" w:rsidRDefault="0006072D" w:rsidP="00314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0B7"/>
    <w:rsid w:val="0006072D"/>
    <w:rsid w:val="00064638"/>
    <w:rsid w:val="001027AF"/>
    <w:rsid w:val="00125918"/>
    <w:rsid w:val="0013798C"/>
    <w:rsid w:val="001602B9"/>
    <w:rsid w:val="00173CB5"/>
    <w:rsid w:val="001955BC"/>
    <w:rsid w:val="00196F2C"/>
    <w:rsid w:val="001A2C9E"/>
    <w:rsid w:val="001A6F79"/>
    <w:rsid w:val="00213FC1"/>
    <w:rsid w:val="00232BDA"/>
    <w:rsid w:val="002462B0"/>
    <w:rsid w:val="00253A21"/>
    <w:rsid w:val="00295ADF"/>
    <w:rsid w:val="002E3295"/>
    <w:rsid w:val="002E5C8A"/>
    <w:rsid w:val="002F2157"/>
    <w:rsid w:val="00301512"/>
    <w:rsid w:val="003100B7"/>
    <w:rsid w:val="00314ECF"/>
    <w:rsid w:val="00350BC1"/>
    <w:rsid w:val="0037421E"/>
    <w:rsid w:val="003B246C"/>
    <w:rsid w:val="003C702B"/>
    <w:rsid w:val="003F7A3C"/>
    <w:rsid w:val="0040626C"/>
    <w:rsid w:val="004246F5"/>
    <w:rsid w:val="004363D8"/>
    <w:rsid w:val="004639D7"/>
    <w:rsid w:val="004E784B"/>
    <w:rsid w:val="00506D37"/>
    <w:rsid w:val="00527C27"/>
    <w:rsid w:val="00536078"/>
    <w:rsid w:val="0054635A"/>
    <w:rsid w:val="005B5A81"/>
    <w:rsid w:val="005F0485"/>
    <w:rsid w:val="00615380"/>
    <w:rsid w:val="00646082"/>
    <w:rsid w:val="006B2DD5"/>
    <w:rsid w:val="006B3B5B"/>
    <w:rsid w:val="006B57B7"/>
    <w:rsid w:val="006B5C96"/>
    <w:rsid w:val="006C364F"/>
    <w:rsid w:val="006D375F"/>
    <w:rsid w:val="006D5295"/>
    <w:rsid w:val="00711044"/>
    <w:rsid w:val="0073726C"/>
    <w:rsid w:val="0076155E"/>
    <w:rsid w:val="007756CC"/>
    <w:rsid w:val="00782117"/>
    <w:rsid w:val="007C7A5A"/>
    <w:rsid w:val="007D03B9"/>
    <w:rsid w:val="00810887"/>
    <w:rsid w:val="008167BB"/>
    <w:rsid w:val="00874C36"/>
    <w:rsid w:val="008811A8"/>
    <w:rsid w:val="008A31D3"/>
    <w:rsid w:val="00925E78"/>
    <w:rsid w:val="009947E0"/>
    <w:rsid w:val="009B6C8E"/>
    <w:rsid w:val="009D2CCB"/>
    <w:rsid w:val="00A05857"/>
    <w:rsid w:val="00A05F83"/>
    <w:rsid w:val="00AA699B"/>
    <w:rsid w:val="00B01095"/>
    <w:rsid w:val="00B301FE"/>
    <w:rsid w:val="00B964C6"/>
    <w:rsid w:val="00BA6E1B"/>
    <w:rsid w:val="00BF7B93"/>
    <w:rsid w:val="00C00D9B"/>
    <w:rsid w:val="00C33B53"/>
    <w:rsid w:val="00C47831"/>
    <w:rsid w:val="00CA6B36"/>
    <w:rsid w:val="00CC1911"/>
    <w:rsid w:val="00CD0CDC"/>
    <w:rsid w:val="00D06DC5"/>
    <w:rsid w:val="00D35010"/>
    <w:rsid w:val="00DC28AA"/>
    <w:rsid w:val="00DD023F"/>
    <w:rsid w:val="00DF32E3"/>
    <w:rsid w:val="00DF3D21"/>
    <w:rsid w:val="00E919D3"/>
    <w:rsid w:val="00ED116A"/>
    <w:rsid w:val="00F8713A"/>
    <w:rsid w:val="00FE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2B531"/>
  <w15:chartTrackingRefBased/>
  <w15:docId w15:val="{7232936B-58E2-4F0C-A761-6368E041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3B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4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autoRedefine/>
    <w:uiPriority w:val="99"/>
    <w:qFormat/>
    <w:rsid w:val="00BA6E1B"/>
    <w:pPr>
      <w:keepNext/>
      <w:keepLines/>
      <w:snapToGrid w:val="0"/>
      <w:spacing w:beforeLines="50" w:before="50" w:line="360" w:lineRule="auto"/>
      <w:jc w:val="center"/>
      <w:outlineLvl w:val="2"/>
    </w:pPr>
    <w:rPr>
      <w:rFonts w:ascii="Times New Roman" w:eastAsia="黑体" w:hAnsi="Times New Roman" w:cs="Times New Roman"/>
      <w:b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4E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4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4ECF"/>
    <w:rPr>
      <w:sz w:val="18"/>
      <w:szCs w:val="18"/>
    </w:rPr>
  </w:style>
  <w:style w:type="paragraph" w:styleId="a7">
    <w:name w:val="List Paragraph"/>
    <w:basedOn w:val="a"/>
    <w:uiPriority w:val="34"/>
    <w:qFormat/>
    <w:rsid w:val="0076155E"/>
    <w:pPr>
      <w:ind w:firstLineChars="200" w:firstLine="420"/>
    </w:pPr>
  </w:style>
  <w:style w:type="character" w:customStyle="1" w:styleId="30">
    <w:name w:val="标题 3 字符"/>
    <w:basedOn w:val="a0"/>
    <w:link w:val="3"/>
    <w:uiPriority w:val="99"/>
    <w:qFormat/>
    <w:rsid w:val="00BA6E1B"/>
    <w:rPr>
      <w:rFonts w:ascii="Times New Roman" w:eastAsia="黑体" w:hAnsi="Times New Roman" w:cs="Times New Roman"/>
      <w:b/>
      <w:kern w:val="0"/>
      <w:sz w:val="28"/>
      <w:szCs w:val="20"/>
    </w:rPr>
  </w:style>
  <w:style w:type="paragraph" w:styleId="a8">
    <w:name w:val="Plain Text"/>
    <w:basedOn w:val="a"/>
    <w:link w:val="a9"/>
    <w:autoRedefine/>
    <w:uiPriority w:val="99"/>
    <w:qFormat/>
    <w:rsid w:val="00BA6E1B"/>
    <w:pPr>
      <w:adjustRightInd w:val="0"/>
      <w:spacing w:line="276" w:lineRule="auto"/>
      <w:outlineLvl w:val="1"/>
    </w:pPr>
    <w:rPr>
      <w:rFonts w:ascii="Times New Roman" w:eastAsia="宋体" w:hAnsi="Times New Roman" w:cs="Times New Roman"/>
      <w:szCs w:val="21"/>
    </w:rPr>
  </w:style>
  <w:style w:type="character" w:customStyle="1" w:styleId="a9">
    <w:name w:val="纯文本 字符"/>
    <w:basedOn w:val="a0"/>
    <w:link w:val="a8"/>
    <w:uiPriority w:val="99"/>
    <w:qFormat/>
    <w:rsid w:val="00BA6E1B"/>
    <w:rPr>
      <w:rFonts w:ascii="Times New Roman" w:eastAsia="宋体" w:hAnsi="Times New Roman" w:cs="Times New Roman"/>
      <w:szCs w:val="21"/>
    </w:rPr>
  </w:style>
  <w:style w:type="paragraph" w:customStyle="1" w:styleId="Default">
    <w:name w:val="Default"/>
    <w:autoRedefine/>
    <w:qFormat/>
    <w:rsid w:val="00BA6E1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B964C6"/>
    <w:rPr>
      <w:b/>
      <w:bCs/>
      <w:kern w:val="44"/>
      <w:sz w:val="44"/>
      <w:szCs w:val="44"/>
    </w:rPr>
  </w:style>
  <w:style w:type="paragraph" w:styleId="aa">
    <w:name w:val="Body Text"/>
    <w:basedOn w:val="a"/>
    <w:link w:val="ab"/>
    <w:uiPriority w:val="99"/>
    <w:unhideWhenUsed/>
    <w:qFormat/>
    <w:rsid w:val="008167BB"/>
    <w:pPr>
      <w:spacing w:after="120"/>
    </w:pPr>
    <w:rPr>
      <w:rFonts w:ascii="Times New Roman" w:eastAsia="宋体" w:hAnsi="Times New Roman" w:cs="Times New Roman"/>
      <w:szCs w:val="20"/>
    </w:rPr>
  </w:style>
  <w:style w:type="character" w:customStyle="1" w:styleId="ab">
    <w:name w:val="正文文本 字符"/>
    <w:basedOn w:val="a0"/>
    <w:link w:val="aa"/>
    <w:uiPriority w:val="99"/>
    <w:rsid w:val="008167BB"/>
    <w:rPr>
      <w:rFonts w:ascii="Times New Roman" w:eastAsia="宋体" w:hAnsi="Times New Roman" w:cs="Times New Roman"/>
      <w:szCs w:val="20"/>
    </w:rPr>
  </w:style>
  <w:style w:type="paragraph" w:customStyle="1" w:styleId="ds-markdown-paragraph">
    <w:name w:val="ds-markdown-paragraph"/>
    <w:basedOn w:val="a"/>
    <w:rsid w:val="008167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zhangyan</dc:creator>
  <cp:keywords/>
  <dc:description/>
  <cp:lastModifiedBy>Feiyu Wang</cp:lastModifiedBy>
  <cp:revision>7</cp:revision>
  <dcterms:created xsi:type="dcterms:W3CDTF">2026-08-23T12:27:00Z</dcterms:created>
  <dcterms:modified xsi:type="dcterms:W3CDTF">2026-08-23T12:38:00Z</dcterms:modified>
</cp:coreProperties>
</file>