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20BC2">
      <w:pPr>
        <w:spacing w:before="120" w:beforeLines="50" w:after="120" w:afterLines="50" w:line="360" w:lineRule="auto"/>
        <w:rPr>
          <w:rFonts w:eastAsia="楷体"/>
          <w:sz w:val="28"/>
          <w:szCs w:val="28"/>
        </w:rPr>
      </w:pPr>
      <w:r>
        <w:rPr>
          <w:rFonts w:eastAsia="楷体"/>
          <w:b/>
          <w:sz w:val="28"/>
          <w:szCs w:val="28"/>
        </w:rPr>
        <w:t>项目名称：</w:t>
      </w:r>
      <w:r>
        <w:rPr>
          <w:rFonts w:hint="eastAsia" w:eastAsia="楷体"/>
          <w:bCs/>
          <w:sz w:val="28"/>
          <w:szCs w:val="28"/>
        </w:rPr>
        <w:t>新型储能</w:t>
      </w:r>
      <w:r>
        <w:rPr>
          <w:rFonts w:hint="eastAsia" w:eastAsia="楷体"/>
          <w:bCs/>
          <w:sz w:val="28"/>
          <w:szCs w:val="28"/>
          <w:lang w:val="en-US" w:eastAsia="zh-CN"/>
        </w:rPr>
        <w:t>协同</w:t>
      </w:r>
      <w:r>
        <w:rPr>
          <w:rFonts w:hint="eastAsia" w:eastAsia="楷体"/>
          <w:bCs/>
          <w:sz w:val="28"/>
          <w:szCs w:val="28"/>
        </w:rPr>
        <w:t>配置与市场化调控关键装备、技术及应用</w:t>
      </w:r>
    </w:p>
    <w:p w14:paraId="5BF20BC3">
      <w:pPr>
        <w:spacing w:before="120" w:beforeLines="50" w:after="120" w:afterLines="50" w:line="360" w:lineRule="auto"/>
        <w:rPr>
          <w:rFonts w:eastAsia="楷体"/>
          <w:b/>
          <w:sz w:val="28"/>
          <w:szCs w:val="28"/>
        </w:rPr>
      </w:pPr>
      <w:r>
        <w:rPr>
          <w:rFonts w:hint="eastAsia" w:eastAsia="楷体"/>
          <w:b/>
          <w:sz w:val="28"/>
          <w:szCs w:val="28"/>
        </w:rPr>
        <w:t>提名单位意见</w:t>
      </w:r>
      <w:r>
        <w:rPr>
          <w:rFonts w:eastAsia="楷体"/>
          <w:b/>
          <w:sz w:val="28"/>
          <w:szCs w:val="28"/>
        </w:rPr>
        <w:t>：</w:t>
      </w:r>
    </w:p>
    <w:p w14:paraId="5BF20BC4">
      <w:pPr>
        <w:spacing w:before="120" w:beforeLines="50" w:after="120" w:afterLines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hint="eastAsia" w:eastAsia="楷体_GB2312"/>
          <w:sz w:val="25"/>
          <w:szCs w:val="25"/>
        </w:rPr>
        <w:t>项目面向山西能源革命综合改革试点和新型电力系统建设需求，针对高比例新能源接入下惯量支撑不足、源荷时空错配、储能规划配置不准和市场化调度机制不完善等问题，围绕“装备研制</w:t>
      </w:r>
      <w:r>
        <w:rPr>
          <w:rFonts w:hint="eastAsia" w:eastAsia="楷体_GB2312"/>
          <w:sz w:val="25"/>
          <w:szCs w:val="25"/>
          <w:lang w:val="en-US" w:eastAsia="zh-CN"/>
        </w:rPr>
        <w:t>-</w:t>
      </w:r>
      <w:r>
        <w:rPr>
          <w:rFonts w:hint="eastAsia" w:eastAsia="楷体_GB2312"/>
          <w:sz w:val="25"/>
          <w:szCs w:val="25"/>
        </w:rPr>
        <w:t>规划布局</w:t>
      </w:r>
      <w:r>
        <w:rPr>
          <w:rFonts w:hint="eastAsia" w:eastAsia="楷体_GB2312"/>
          <w:sz w:val="25"/>
          <w:szCs w:val="25"/>
          <w:lang w:val="en-US" w:eastAsia="zh-CN"/>
        </w:rPr>
        <w:t>-</w:t>
      </w:r>
      <w:r>
        <w:rPr>
          <w:rFonts w:hint="eastAsia" w:eastAsia="楷体_GB2312"/>
          <w:sz w:val="25"/>
          <w:szCs w:val="25"/>
        </w:rPr>
        <w:t>市场</w:t>
      </w:r>
      <w:r>
        <w:rPr>
          <w:rFonts w:hint="eastAsia" w:eastAsia="楷体_GB2312"/>
          <w:sz w:val="25"/>
          <w:szCs w:val="25"/>
          <w:lang w:val="en-US" w:eastAsia="zh-CN"/>
        </w:rPr>
        <w:t>化调控</w:t>
      </w:r>
      <w:r>
        <w:rPr>
          <w:rFonts w:hint="eastAsia" w:eastAsia="楷体_GB2312"/>
          <w:sz w:val="25"/>
          <w:szCs w:val="25"/>
        </w:rPr>
        <w:t>”技术主线，开展了新型储能全链条关键技术攻关</w:t>
      </w:r>
      <w:r>
        <w:rPr>
          <w:rFonts w:hint="eastAsia" w:eastAsia="楷体_GB2312"/>
          <w:sz w:val="25"/>
          <w:szCs w:val="25"/>
          <w:lang w:eastAsia="zh-CN"/>
        </w:rPr>
        <w:t>，</w:t>
      </w:r>
      <w:r>
        <w:rPr>
          <w:rFonts w:hint="eastAsia" w:eastAsia="楷体_GB2312"/>
          <w:sz w:val="25"/>
          <w:szCs w:val="25"/>
          <w:lang w:val="en-US" w:eastAsia="zh-CN"/>
        </w:rPr>
        <w:t>并</w:t>
      </w:r>
      <w:r>
        <w:rPr>
          <w:rFonts w:hint="eastAsia" w:eastAsia="楷体_GB2312"/>
          <w:sz w:val="25"/>
          <w:szCs w:val="25"/>
        </w:rPr>
        <w:t>成了具有自主知识产权的新型储能主动支撑技术体系。成果已在山西、新疆等20余省份推广，并输出至海外市场，</w:t>
      </w:r>
      <w:r>
        <w:rPr>
          <w:rFonts w:hint="eastAsia" w:eastAsia="楷体_GB2312"/>
          <w:sz w:val="25"/>
          <w:szCs w:val="25"/>
          <w:lang w:val="en-US" w:eastAsia="zh-CN"/>
        </w:rPr>
        <w:t>经济效益显著</w:t>
      </w:r>
      <w:r>
        <w:rPr>
          <w:rFonts w:hint="eastAsia" w:eastAsia="楷体_GB2312"/>
          <w:sz w:val="25"/>
          <w:szCs w:val="25"/>
        </w:rPr>
        <w:t>。项目创新性</w:t>
      </w:r>
      <w:r>
        <w:rPr>
          <w:rFonts w:hint="eastAsia" w:eastAsia="楷体_GB2312"/>
          <w:sz w:val="25"/>
          <w:szCs w:val="25"/>
          <w:lang w:val="en-US" w:eastAsia="zh-CN"/>
        </w:rPr>
        <w:t>与</w:t>
      </w:r>
      <w:r>
        <w:rPr>
          <w:rFonts w:hint="eastAsia" w:eastAsia="楷体_GB2312"/>
          <w:sz w:val="25"/>
          <w:szCs w:val="25"/>
        </w:rPr>
        <w:t>工程应用成效突出，对提升新能源消纳、电网安全稳定和</w:t>
      </w:r>
      <w:r>
        <w:rPr>
          <w:rFonts w:hint="eastAsia" w:eastAsia="楷体_GB2312"/>
          <w:sz w:val="25"/>
          <w:szCs w:val="25"/>
          <w:lang w:val="en-US" w:eastAsia="zh-CN"/>
        </w:rPr>
        <w:t>新型</w:t>
      </w:r>
      <w:r>
        <w:rPr>
          <w:rFonts w:hint="eastAsia" w:eastAsia="楷体_GB2312"/>
          <w:sz w:val="25"/>
          <w:szCs w:val="25"/>
        </w:rPr>
        <w:t>储能产业</w:t>
      </w:r>
      <w:bookmarkStart w:id="0" w:name="_GoBack"/>
      <w:bookmarkEnd w:id="0"/>
      <w:r>
        <w:rPr>
          <w:rFonts w:hint="eastAsia" w:eastAsia="楷体_GB2312"/>
          <w:sz w:val="25"/>
          <w:szCs w:val="25"/>
        </w:rPr>
        <w:t>竞争力具有重要作用，提名该项目申报2026年度山西省科学技术进步一等奖。</w:t>
      </w:r>
    </w:p>
    <w:p w14:paraId="5BF20BC5">
      <w:pPr>
        <w:spacing w:line="360" w:lineRule="auto"/>
        <w:rPr>
          <w:rFonts w:eastAsia="楷体"/>
          <w:b/>
          <w:sz w:val="28"/>
          <w:szCs w:val="28"/>
        </w:rPr>
      </w:pPr>
      <w:r>
        <w:rPr>
          <w:rFonts w:hint="eastAsia" w:eastAsia="楷体"/>
          <w:b/>
          <w:sz w:val="28"/>
          <w:szCs w:val="28"/>
        </w:rPr>
        <w:t>项目简介</w:t>
      </w:r>
      <w:r>
        <w:rPr>
          <w:rFonts w:eastAsia="楷体"/>
          <w:b/>
          <w:sz w:val="28"/>
          <w:szCs w:val="28"/>
        </w:rPr>
        <w:t>：</w:t>
      </w:r>
    </w:p>
    <w:p w14:paraId="5BF20BC6">
      <w:pPr>
        <w:spacing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本项目面向高比例新能源接入下惯量下降、频率越限、储能规划与运行协同不足等问题，围绕</w:t>
      </w:r>
      <w:r>
        <w:rPr>
          <w:rFonts w:hint="eastAsia" w:eastAsia="楷体_GB2312"/>
          <w:sz w:val="25"/>
          <w:szCs w:val="25"/>
        </w:rPr>
        <w:t>“</w:t>
      </w:r>
      <w:r>
        <w:rPr>
          <w:rFonts w:eastAsia="楷体_GB2312"/>
          <w:sz w:val="25"/>
          <w:szCs w:val="25"/>
        </w:rPr>
        <w:t>装备制备</w:t>
      </w:r>
      <w:r>
        <w:rPr>
          <w:rFonts w:hint="eastAsia" w:eastAsia="楷体_GB2312"/>
          <w:sz w:val="25"/>
          <w:szCs w:val="25"/>
        </w:rPr>
        <w:t>-</w:t>
      </w:r>
      <w:r>
        <w:rPr>
          <w:rFonts w:eastAsia="楷体_GB2312"/>
          <w:sz w:val="25"/>
          <w:szCs w:val="25"/>
        </w:rPr>
        <w:t>规划布局</w:t>
      </w:r>
      <w:r>
        <w:rPr>
          <w:rFonts w:hint="eastAsia" w:eastAsia="楷体_GB2312"/>
          <w:sz w:val="25"/>
          <w:szCs w:val="25"/>
        </w:rPr>
        <w:t>-</w:t>
      </w:r>
      <w:r>
        <w:rPr>
          <w:rFonts w:eastAsia="楷体_GB2312"/>
          <w:sz w:val="25"/>
          <w:szCs w:val="25"/>
        </w:rPr>
        <w:t>市场化调控</w:t>
      </w:r>
      <w:r>
        <w:rPr>
          <w:rFonts w:hint="eastAsia" w:eastAsia="楷体_GB2312"/>
          <w:sz w:val="25"/>
          <w:szCs w:val="25"/>
        </w:rPr>
        <w:t>”</w:t>
      </w:r>
      <w:r>
        <w:rPr>
          <w:rFonts w:eastAsia="楷体_GB2312"/>
          <w:sz w:val="25"/>
          <w:szCs w:val="25"/>
        </w:rPr>
        <w:t>开展攻关，突破</w:t>
      </w:r>
      <w:r>
        <w:rPr>
          <w:rFonts w:hint="eastAsia" w:eastAsia="楷体_GB2312"/>
          <w:sz w:val="25"/>
          <w:szCs w:val="25"/>
        </w:rPr>
        <w:t>新型</w:t>
      </w:r>
      <w:r>
        <w:rPr>
          <w:rFonts w:eastAsia="楷体_GB2312"/>
          <w:sz w:val="25"/>
          <w:szCs w:val="25"/>
        </w:rPr>
        <w:t>储能主动支撑、充裕低碳协同规划、储能集群分层调控与辅助服务市场化交易等关键技术，形成</w:t>
      </w:r>
      <w:r>
        <w:rPr>
          <w:rFonts w:hint="eastAsia" w:eastAsia="楷体_GB2312"/>
          <w:sz w:val="25"/>
          <w:szCs w:val="25"/>
        </w:rPr>
        <w:t>新型</w:t>
      </w:r>
      <w:r>
        <w:rPr>
          <w:rFonts w:eastAsia="楷体_GB2312"/>
          <w:sz w:val="25"/>
          <w:szCs w:val="25"/>
        </w:rPr>
        <w:t>储能从装备研制、源网配置到调度市场闭环运行的成套体系，并在山西多地实现工程应用。项目提升新能源消纳、电网频率安全和火电运行经济性，支撑山西新型电力系统建设与低碳转型。</w:t>
      </w:r>
    </w:p>
    <w:p w14:paraId="5BF20BC7">
      <w:pPr>
        <w:spacing w:line="360" w:lineRule="auto"/>
        <w:rPr>
          <w:rFonts w:eastAsia="楷体"/>
          <w:b/>
          <w:sz w:val="28"/>
          <w:szCs w:val="28"/>
        </w:rPr>
      </w:pPr>
      <w:r>
        <w:rPr>
          <w:rFonts w:hint="eastAsia" w:eastAsia="楷体"/>
          <w:b/>
          <w:sz w:val="28"/>
          <w:szCs w:val="28"/>
        </w:rPr>
        <w:t>客观评价</w:t>
      </w:r>
      <w:r>
        <w:rPr>
          <w:rFonts w:eastAsia="楷体"/>
          <w:b/>
          <w:sz w:val="28"/>
          <w:szCs w:val="28"/>
        </w:rPr>
        <w:t>：</w:t>
      </w:r>
    </w:p>
    <w:p w14:paraId="5BF20BC8">
      <w:pPr>
        <w:spacing w:line="360" w:lineRule="auto"/>
        <w:ind w:firstLine="500" w:firstLineChars="200"/>
        <w:rPr>
          <w:rFonts w:eastAsia="楷体"/>
          <w:b/>
          <w:sz w:val="28"/>
          <w:szCs w:val="28"/>
        </w:rPr>
      </w:pPr>
      <w:r>
        <w:rPr>
          <w:rFonts w:hint="eastAsia" w:eastAsia="楷体_GB2312"/>
          <w:sz w:val="25"/>
          <w:szCs w:val="25"/>
        </w:rPr>
        <w:t>行业专家评价团队混合储能技术兼顾了机械耐久性和持续支撑能力，项目研究成果纳入《山西能源革命研究报告（2026）》蓝皮书，指导山西源网储协同发展。</w:t>
      </w:r>
    </w:p>
    <w:p w14:paraId="5BF20BC9">
      <w:pPr>
        <w:spacing w:line="360" w:lineRule="auto"/>
        <w:rPr>
          <w:rFonts w:eastAsia="楷体"/>
          <w:b/>
          <w:sz w:val="28"/>
          <w:szCs w:val="28"/>
        </w:rPr>
      </w:pPr>
      <w:r>
        <w:rPr>
          <w:rFonts w:hint="eastAsia" w:eastAsia="楷体"/>
          <w:b/>
          <w:sz w:val="28"/>
          <w:szCs w:val="28"/>
        </w:rPr>
        <w:t>推广应用情况</w:t>
      </w:r>
      <w:r>
        <w:rPr>
          <w:rFonts w:eastAsia="楷体"/>
          <w:b/>
          <w:sz w:val="28"/>
          <w:szCs w:val="28"/>
        </w:rPr>
        <w:t>：</w:t>
      </w:r>
    </w:p>
    <w:p w14:paraId="5BF20BCA">
      <w:pPr>
        <w:spacing w:line="360" w:lineRule="auto"/>
        <w:ind w:firstLine="500" w:firstLineChars="200"/>
        <w:rPr>
          <w:rFonts w:eastAsia="楷体_GB2312"/>
          <w:color w:val="C00000"/>
          <w:sz w:val="25"/>
          <w:szCs w:val="25"/>
        </w:rPr>
      </w:pPr>
      <w:r>
        <w:rPr>
          <w:rFonts w:eastAsia="楷体_GB2312"/>
          <w:sz w:val="25"/>
          <w:szCs w:val="25"/>
        </w:rPr>
        <w:t>项目成果已在山西</w:t>
      </w:r>
      <w:r>
        <w:rPr>
          <w:rFonts w:hint="eastAsia" w:eastAsia="楷体_GB2312"/>
          <w:sz w:val="25"/>
          <w:szCs w:val="25"/>
        </w:rPr>
        <w:t>多</w:t>
      </w:r>
      <w:r>
        <w:rPr>
          <w:rFonts w:eastAsia="楷体_GB2312"/>
          <w:sz w:val="25"/>
          <w:szCs w:val="25"/>
        </w:rPr>
        <w:t>地开展工程应用，支撑储能参与现货交易、一次/二次调频、削峰填谷等场景，并依托山西有偿一次调频服务和调度-市场平台实现推广应用</w:t>
      </w:r>
      <w:r>
        <w:rPr>
          <w:rFonts w:hint="eastAsia" w:eastAsia="楷体_GB2312"/>
          <w:sz w:val="25"/>
          <w:szCs w:val="25"/>
        </w:rPr>
        <w:t>。</w:t>
      </w:r>
    </w:p>
    <w:p w14:paraId="5BF20BCB">
      <w:pPr>
        <w:spacing w:before="120" w:beforeLines="50" w:after="120" w:afterLines="50" w:line="360" w:lineRule="auto"/>
        <w:rPr>
          <w:rFonts w:eastAsia="楷体"/>
          <w:b/>
          <w:sz w:val="28"/>
          <w:szCs w:val="28"/>
        </w:rPr>
      </w:pPr>
      <w:r>
        <w:rPr>
          <w:rFonts w:hint="eastAsia" w:eastAsia="楷体"/>
          <w:b/>
          <w:sz w:val="28"/>
          <w:szCs w:val="28"/>
        </w:rPr>
        <w:t>代表性知识产权目录：</w:t>
      </w:r>
    </w:p>
    <w:p w14:paraId="5BF20BCC">
      <w:pPr>
        <w:pStyle w:val="11"/>
        <w:numPr>
          <w:ilvl w:val="0"/>
          <w:numId w:val="1"/>
        </w:numPr>
        <w:spacing w:line="360" w:lineRule="auto"/>
        <w:ind w:left="0" w:firstLine="0" w:firstLineChars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>一种电-热耦合系统的分布式协同机组组合方法及装置，薛屹洵；孙宏斌；杜源等，太原理工大学，2024.08.09；</w:t>
      </w:r>
    </w:p>
    <w:p w14:paraId="5BF20BCD">
      <w:pPr>
        <w:pStyle w:val="11"/>
        <w:numPr>
          <w:ilvl w:val="0"/>
          <w:numId w:val="1"/>
        </w:numPr>
        <w:spacing w:line="360" w:lineRule="auto"/>
        <w:ind w:left="0" w:firstLine="0" w:firstLineChars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>一种共享储能容量分配方法，梁燕; 王尧; 周明等，国网山西省电力公司经济技术研究院; 华北电力大学，2024.09.20;</w:t>
      </w:r>
    </w:p>
    <w:p w14:paraId="5BF20BCE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>考虑源网荷储灵活性资源的供需平衡调控优化方法，李佳</w:t>
      </w:r>
      <w:r>
        <w:rPr>
          <w:rFonts w:eastAsia="楷体"/>
          <w:sz w:val="24"/>
          <w:szCs w:val="24"/>
        </w:rPr>
        <w:t xml:space="preserve">; </w:t>
      </w:r>
      <w:r>
        <w:rPr>
          <w:rFonts w:hint="eastAsia" w:eastAsia="楷体"/>
          <w:sz w:val="24"/>
          <w:szCs w:val="24"/>
        </w:rPr>
        <w:t>王尧</w:t>
      </w:r>
      <w:r>
        <w:rPr>
          <w:rFonts w:eastAsia="楷体"/>
          <w:sz w:val="24"/>
          <w:szCs w:val="24"/>
        </w:rPr>
        <w:t xml:space="preserve">; </w:t>
      </w:r>
      <w:r>
        <w:rPr>
          <w:rFonts w:hint="eastAsia" w:eastAsia="楷体"/>
          <w:sz w:val="24"/>
          <w:szCs w:val="24"/>
        </w:rPr>
        <w:t>宋巍等，国网山西省电力公司经济技术研究院</w:t>
      </w:r>
      <w:r>
        <w:rPr>
          <w:rFonts w:eastAsia="楷体"/>
          <w:sz w:val="24"/>
          <w:szCs w:val="24"/>
        </w:rPr>
        <w:t xml:space="preserve">; </w:t>
      </w:r>
      <w:r>
        <w:rPr>
          <w:rFonts w:hint="eastAsia" w:eastAsia="楷体"/>
          <w:sz w:val="24"/>
          <w:szCs w:val="24"/>
        </w:rPr>
        <w:t>华北电力大学，</w:t>
      </w:r>
      <w:r>
        <w:rPr>
          <w:rFonts w:eastAsia="楷体"/>
          <w:sz w:val="24"/>
          <w:szCs w:val="24"/>
        </w:rPr>
        <w:t>2025.07.11</w:t>
      </w:r>
      <w:r>
        <w:rPr>
          <w:rFonts w:hint="eastAsia" w:eastAsia="楷体"/>
          <w:sz w:val="24"/>
          <w:szCs w:val="24"/>
        </w:rPr>
        <w:t>;</w:t>
      </w:r>
    </w:p>
    <w:p w14:paraId="5BF20BCF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>一种基于多主体交互的电力系统演化模型构建方法，刘红丽</w:t>
      </w:r>
      <w:r>
        <w:rPr>
          <w:rFonts w:eastAsia="楷体"/>
          <w:sz w:val="24"/>
          <w:szCs w:val="24"/>
        </w:rPr>
        <w:t xml:space="preserve">; </w:t>
      </w:r>
      <w:r>
        <w:rPr>
          <w:rFonts w:hint="eastAsia" w:eastAsia="楷体"/>
          <w:sz w:val="24"/>
          <w:szCs w:val="24"/>
        </w:rPr>
        <w:t>刘晋雄</w:t>
      </w:r>
      <w:r>
        <w:rPr>
          <w:rFonts w:eastAsia="楷体"/>
          <w:sz w:val="24"/>
          <w:szCs w:val="24"/>
        </w:rPr>
        <w:t xml:space="preserve">; </w:t>
      </w:r>
      <w:r>
        <w:rPr>
          <w:rFonts w:hint="eastAsia" w:eastAsia="楷体"/>
          <w:sz w:val="24"/>
          <w:szCs w:val="24"/>
        </w:rPr>
        <w:t>周明等，国网山西省电力公司经济技术研究院</w:t>
      </w:r>
      <w:r>
        <w:rPr>
          <w:rFonts w:eastAsia="楷体"/>
          <w:sz w:val="24"/>
          <w:szCs w:val="24"/>
        </w:rPr>
        <w:t xml:space="preserve">; </w:t>
      </w:r>
      <w:r>
        <w:rPr>
          <w:rFonts w:hint="eastAsia" w:eastAsia="楷体"/>
          <w:sz w:val="24"/>
          <w:szCs w:val="24"/>
        </w:rPr>
        <w:t>华北电力大学，</w:t>
      </w:r>
      <w:r>
        <w:rPr>
          <w:rFonts w:eastAsia="楷体"/>
          <w:sz w:val="24"/>
          <w:szCs w:val="24"/>
        </w:rPr>
        <w:t>2024.12.13</w:t>
      </w:r>
      <w:r>
        <w:rPr>
          <w:rFonts w:hint="eastAsia" w:eastAsia="楷体"/>
          <w:sz w:val="24"/>
          <w:szCs w:val="24"/>
        </w:rPr>
        <w:t>;</w:t>
      </w:r>
    </w:p>
    <w:p w14:paraId="5BF20BD0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>飞轮-电池混合储能频率调节系统、方法、设备及介质，</w:t>
      </w:r>
      <w:r>
        <w:fldChar w:fldCharType="begin"/>
      </w:r>
      <w:r>
        <w:instrText xml:space="preserve"> HYPERLINK "https://s.wanfangdata.com.cn/patent?q=%E5%8F%91%E6%98%8E%E4%BA%BA/%E8%AE%BE%E8%AE%A1%E4%BA%BA:" \t "https://d.wanfangdata.com.cn/patent/_blank" </w:instrText>
      </w:r>
      <w:r>
        <w:fldChar w:fldCharType="separate"/>
      </w:r>
      <w:r>
        <w:rPr>
          <w:rFonts w:hint="eastAsia" w:eastAsia="楷体"/>
          <w:sz w:val="24"/>
          <w:szCs w:val="24"/>
        </w:rPr>
        <w:t>姜新建</w:t>
      </w:r>
      <w:r>
        <w:rPr>
          <w:rFonts w:hint="eastAsia" w:eastAsia="楷体"/>
          <w:sz w:val="24"/>
          <w:szCs w:val="24"/>
        </w:rPr>
        <w:fldChar w:fldCharType="end"/>
      </w:r>
      <w:r>
        <w:rPr>
          <w:rFonts w:hint="eastAsia" w:eastAsia="楷体"/>
          <w:sz w:val="24"/>
          <w:szCs w:val="24"/>
        </w:rPr>
        <w:t xml:space="preserve">; </w:t>
      </w:r>
      <w:r>
        <w:fldChar w:fldCharType="begin"/>
      </w:r>
      <w:r>
        <w:instrText xml:space="preserve"> HYPERLINK "https://s.wanfangdata.com.cn/patent?q=%E5%8F%91%E6%98%8E%E4%BA%BA/%E8%AE%BE%E8%AE%A1%E4%BA%BA:" \t "https://d.wanfangdata.com.cn/patent/_blank" </w:instrText>
      </w:r>
      <w:r>
        <w:fldChar w:fldCharType="separate"/>
      </w:r>
      <w:r>
        <w:rPr>
          <w:rFonts w:hint="eastAsia" w:eastAsia="楷体"/>
          <w:sz w:val="24"/>
          <w:szCs w:val="24"/>
        </w:rPr>
        <w:t>梁靖卿</w:t>
      </w:r>
      <w:r>
        <w:rPr>
          <w:rFonts w:hint="eastAsia" w:eastAsia="楷体"/>
          <w:sz w:val="24"/>
          <w:szCs w:val="24"/>
        </w:rPr>
        <w:fldChar w:fldCharType="end"/>
      </w:r>
      <w:r>
        <w:rPr>
          <w:rFonts w:hint="eastAsia" w:eastAsia="楷体"/>
          <w:sz w:val="24"/>
          <w:szCs w:val="24"/>
        </w:rPr>
        <w:t>，清华大学， 2025.6.24；</w:t>
      </w:r>
    </w:p>
    <w:p w14:paraId="5BF20BD1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 xml:space="preserve">房珂, 周明, 武昭原等. 面向低碳电力系统的长期储能优化规划与成本效益分析. </w:t>
      </w:r>
      <w:r>
        <w:rPr>
          <w:rFonts w:eastAsia="楷体"/>
          <w:sz w:val="24"/>
          <w:szCs w:val="24"/>
        </w:rPr>
        <w:t>中国电机工程学报</w:t>
      </w:r>
      <w:r>
        <w:rPr>
          <w:rFonts w:hint="eastAsia" w:eastAsia="楷体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43, no. 21 (2023): 8282-8294</w:t>
      </w:r>
      <w:r>
        <w:rPr>
          <w:rFonts w:hint="eastAsia" w:eastAsia="楷体"/>
          <w:sz w:val="24"/>
          <w:szCs w:val="24"/>
        </w:rPr>
        <w:t>;</w:t>
      </w:r>
    </w:p>
    <w:p w14:paraId="5BF20BD2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 xml:space="preserve">Zhang, Jingxuan, Xinyue Chang, Yixun Xue, Jia Su, Yinke Dou, Xiaoqing Han, and Hongbin Sun. Optimal multi-timescale economic dispatch for Antarctic microgrids considering a hybrid electric-hydrogen-thermal energy storage system. </w:t>
      </w:r>
      <w:r>
        <w:rPr>
          <w:rFonts w:eastAsia="楷体"/>
          <w:sz w:val="24"/>
          <w:szCs w:val="24"/>
        </w:rPr>
        <w:t>Energy Conversion and Management</w:t>
      </w:r>
      <w:r>
        <w:rPr>
          <w:rFonts w:hint="eastAsia" w:eastAsia="楷体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345 (2025): 120353</w:t>
      </w:r>
      <w:r>
        <w:rPr>
          <w:rFonts w:hint="eastAsia" w:eastAsia="楷体"/>
          <w:sz w:val="24"/>
          <w:szCs w:val="24"/>
        </w:rPr>
        <w:t>;</w:t>
      </w:r>
    </w:p>
    <w:p w14:paraId="5BF20BD3">
      <w:pPr>
        <w:numPr>
          <w:ilvl w:val="0"/>
          <w:numId w:val="1"/>
        </w:numPr>
        <w:spacing w:line="360" w:lineRule="auto"/>
        <w:ind w:left="0" w:firstLine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 xml:space="preserve">Chang, Longwen, Zening Li, Xingtao Tian, Jia Su, Xinyue Chang, Yixun Xue, Zhengmao Li, Xiaolong Jin, Peng Wang, and Hongbin Sun. A two-stage distributionally robust low-carbon operation method for antarctic unmanned observation station integrating virtual energy storage and hydrogen waste heat recovery. </w:t>
      </w:r>
      <w:r>
        <w:rPr>
          <w:rFonts w:eastAsia="楷体"/>
          <w:sz w:val="24"/>
          <w:szCs w:val="24"/>
        </w:rPr>
        <w:t>Applied Energy</w:t>
      </w:r>
      <w:r>
        <w:rPr>
          <w:rFonts w:hint="eastAsia" w:eastAsia="楷体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400 (2025): 126578</w:t>
      </w:r>
      <w:r>
        <w:rPr>
          <w:rFonts w:hint="eastAsia" w:eastAsia="楷体"/>
          <w:sz w:val="24"/>
          <w:szCs w:val="24"/>
        </w:rPr>
        <w:t>;</w:t>
      </w:r>
    </w:p>
    <w:p w14:paraId="5BF20BD4">
      <w:pPr>
        <w:pStyle w:val="11"/>
        <w:numPr>
          <w:ilvl w:val="0"/>
          <w:numId w:val="1"/>
        </w:numPr>
        <w:spacing w:line="360" w:lineRule="auto"/>
        <w:ind w:left="0" w:firstLine="0" w:firstLineChars="0"/>
        <w:rPr>
          <w:rFonts w:eastAsia="楷体"/>
          <w:sz w:val="24"/>
          <w:szCs w:val="24"/>
        </w:rPr>
      </w:pPr>
      <w:r>
        <w:rPr>
          <w:rFonts w:hint="eastAsia" w:eastAsia="楷体"/>
          <w:sz w:val="24"/>
          <w:szCs w:val="24"/>
        </w:rPr>
        <w:t xml:space="preserve">Wu, Zhaoyuan, Jianxiao Wang, Lanyi Wei, Bo Li, Lin Chen, Lu Zhang, Daniel M. Kammen, Gengyin Li, Ming Zhou, and Jie Song. National-level assessment of infrastructure-coupled roadside solar energy toward transportation decarbonization in China. </w:t>
      </w:r>
      <w:r>
        <w:rPr>
          <w:rFonts w:eastAsia="楷体"/>
          <w:sz w:val="24"/>
          <w:szCs w:val="24"/>
        </w:rPr>
        <w:t>Nature Communications</w:t>
      </w:r>
      <w:r>
        <w:rPr>
          <w:rFonts w:hint="eastAsia" w:eastAsia="楷体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(2026)</w:t>
      </w:r>
      <w:r>
        <w:rPr>
          <w:rFonts w:hint="eastAsia" w:eastAsia="楷体"/>
          <w:sz w:val="24"/>
          <w:szCs w:val="24"/>
        </w:rPr>
        <w:t>;</w:t>
      </w:r>
    </w:p>
    <w:p w14:paraId="5BF20BD5">
      <w:pPr>
        <w:pStyle w:val="11"/>
        <w:numPr>
          <w:ilvl w:val="0"/>
          <w:numId w:val="1"/>
        </w:numPr>
        <w:spacing w:line="360" w:lineRule="auto"/>
        <w:ind w:left="0" w:firstLine="0" w:firstLineChars="0"/>
        <w:rPr>
          <w:rFonts w:eastAsia="楷体_GB2312"/>
          <w:sz w:val="25"/>
          <w:szCs w:val="25"/>
        </w:rPr>
      </w:pPr>
      <w:r>
        <w:rPr>
          <w:rFonts w:hint="eastAsia" w:eastAsia="楷体"/>
          <w:sz w:val="24"/>
          <w:szCs w:val="24"/>
        </w:rPr>
        <w:t xml:space="preserve">Liang, Yan, Ming Zhou, Xue Bai, Hongli Liu, Minru Xu, and Zhaoyuan Wu. Capacity Compensation Mechanism Design for Energy Storage Sharing in New Energy Base. </w:t>
      </w:r>
      <w:r>
        <w:rPr>
          <w:rFonts w:eastAsia="楷体"/>
          <w:sz w:val="24"/>
          <w:szCs w:val="24"/>
        </w:rPr>
        <w:t>IET Renewable Power Generation</w:t>
      </w:r>
      <w:r>
        <w:rPr>
          <w:rFonts w:hint="eastAsia" w:eastAsia="楷体"/>
          <w:sz w:val="24"/>
          <w:szCs w:val="24"/>
        </w:rPr>
        <w:t xml:space="preserve"> </w:t>
      </w:r>
      <w:r>
        <w:rPr>
          <w:rFonts w:eastAsia="楷体"/>
          <w:sz w:val="24"/>
          <w:szCs w:val="24"/>
        </w:rPr>
        <w:t>19, no. 1 (2025): e70059.</w:t>
      </w:r>
    </w:p>
    <w:p w14:paraId="5BF20BD6">
      <w:pPr>
        <w:spacing w:before="120" w:beforeLines="50" w:after="120" w:afterLines="50" w:line="360" w:lineRule="auto"/>
        <w:rPr>
          <w:rFonts w:eastAsia="楷体"/>
          <w:b/>
          <w:sz w:val="28"/>
          <w:szCs w:val="28"/>
        </w:rPr>
      </w:pPr>
      <w:r>
        <w:rPr>
          <w:rFonts w:eastAsia="楷体"/>
          <w:b/>
          <w:sz w:val="28"/>
          <w:szCs w:val="28"/>
        </w:rPr>
        <w:t>完成人情况说明：</w:t>
      </w:r>
    </w:p>
    <w:p w14:paraId="5BF20BD7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第一完成人：</w:t>
      </w:r>
      <w:r>
        <w:rPr>
          <w:rFonts w:hint="eastAsia" w:eastAsia="楷体_GB2312"/>
          <w:sz w:val="25"/>
          <w:szCs w:val="25"/>
        </w:rPr>
        <w:t>薛屹洵</w:t>
      </w:r>
    </w:p>
    <w:p w14:paraId="5BF20BD8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第二完成人：</w:t>
      </w:r>
      <w:r>
        <w:rPr>
          <w:rFonts w:hint="eastAsia" w:eastAsia="楷体_GB2312"/>
          <w:sz w:val="25"/>
          <w:szCs w:val="25"/>
        </w:rPr>
        <w:t>王尧</w:t>
      </w:r>
    </w:p>
    <w:p w14:paraId="5BF20BD9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三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武昭原</w:t>
      </w:r>
    </w:p>
    <w:p w14:paraId="5BF20BDA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四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梁燕</w:t>
      </w:r>
    </w:p>
    <w:p w14:paraId="5BF20BDB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五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严伟</w:t>
      </w:r>
    </w:p>
    <w:p w14:paraId="5BF20BDC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六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王小昂</w:t>
      </w:r>
    </w:p>
    <w:p w14:paraId="5BF20BDD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七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刘红丽</w:t>
      </w:r>
    </w:p>
    <w:p w14:paraId="5BF20BDE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八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姜新建</w:t>
      </w:r>
    </w:p>
    <w:p w14:paraId="5BF20BDF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九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韩肖清</w:t>
      </w:r>
    </w:p>
    <w:p w14:paraId="5BF20BE0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十</w:t>
      </w:r>
      <w:r>
        <w:rPr>
          <w:rFonts w:eastAsia="楷体_GB2312"/>
          <w:sz w:val="25"/>
          <w:szCs w:val="25"/>
        </w:rPr>
        <w:t>完成人：</w:t>
      </w:r>
      <w:r>
        <w:rPr>
          <w:rFonts w:hint="eastAsia" w:eastAsia="楷体_GB2312"/>
          <w:sz w:val="25"/>
          <w:szCs w:val="25"/>
        </w:rPr>
        <w:t>陈政琦</w:t>
      </w:r>
    </w:p>
    <w:p w14:paraId="5BF20BE1">
      <w:pPr>
        <w:spacing w:before="120" w:beforeLines="50" w:after="120" w:afterLines="50" w:line="360" w:lineRule="auto"/>
        <w:rPr>
          <w:rFonts w:eastAsia="楷体"/>
          <w:b/>
          <w:sz w:val="28"/>
          <w:szCs w:val="28"/>
        </w:rPr>
      </w:pPr>
      <w:r>
        <w:rPr>
          <w:rFonts w:eastAsia="楷体"/>
          <w:b/>
          <w:sz w:val="28"/>
          <w:szCs w:val="28"/>
        </w:rPr>
        <w:t>主要完成</w:t>
      </w:r>
      <w:r>
        <w:rPr>
          <w:rFonts w:hint="eastAsia" w:eastAsia="楷体"/>
          <w:b/>
          <w:sz w:val="28"/>
          <w:szCs w:val="28"/>
        </w:rPr>
        <w:t>单位及贡献</w:t>
      </w:r>
      <w:r>
        <w:rPr>
          <w:rFonts w:eastAsia="楷体"/>
          <w:b/>
          <w:sz w:val="28"/>
          <w:szCs w:val="28"/>
        </w:rPr>
        <w:t>：</w:t>
      </w:r>
    </w:p>
    <w:p w14:paraId="5BF20BE2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第一完成</w:t>
      </w:r>
      <w:r>
        <w:rPr>
          <w:rFonts w:hint="eastAsia" w:eastAsia="楷体_GB2312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hint="eastAsia" w:eastAsia="楷体_GB2312"/>
          <w:sz w:val="25"/>
          <w:szCs w:val="25"/>
        </w:rPr>
        <w:t>太原理工大学，</w:t>
      </w:r>
    </w:p>
    <w:p w14:paraId="5BF20BE3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第二完成</w:t>
      </w:r>
      <w:r>
        <w:rPr>
          <w:rFonts w:hint="eastAsia" w:eastAsia="楷体_GB2312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hint="eastAsia" w:eastAsia="楷体_GB2312"/>
          <w:sz w:val="25"/>
          <w:szCs w:val="25"/>
        </w:rPr>
        <w:t>国网山西省电力有限公司经济技术研究院</w:t>
      </w:r>
    </w:p>
    <w:p w14:paraId="5BF20BE4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三</w:t>
      </w:r>
      <w:r>
        <w:rPr>
          <w:rFonts w:eastAsia="楷体_GB2312"/>
          <w:sz w:val="25"/>
          <w:szCs w:val="25"/>
        </w:rPr>
        <w:t>完成</w:t>
      </w:r>
      <w:r>
        <w:rPr>
          <w:rFonts w:hint="eastAsia" w:eastAsia="楷体_GB2312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hint="eastAsia" w:eastAsia="楷体_GB2312"/>
          <w:sz w:val="25"/>
          <w:szCs w:val="25"/>
        </w:rPr>
        <w:t>华北电力大学</w:t>
      </w:r>
    </w:p>
    <w:p w14:paraId="5BF20BE5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四</w:t>
      </w:r>
      <w:r>
        <w:rPr>
          <w:rFonts w:eastAsia="楷体_GB2312"/>
          <w:sz w:val="25"/>
          <w:szCs w:val="25"/>
        </w:rPr>
        <w:t>完成</w:t>
      </w:r>
      <w:r>
        <w:rPr>
          <w:rFonts w:hint="eastAsia" w:eastAsia="楷体_GB2312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hint="eastAsia" w:eastAsia="楷体_GB2312"/>
          <w:sz w:val="25"/>
          <w:szCs w:val="25"/>
        </w:rPr>
        <w:t>清华大学</w:t>
      </w:r>
    </w:p>
    <w:p w14:paraId="5BF20BE6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五</w:t>
      </w:r>
      <w:r>
        <w:rPr>
          <w:rFonts w:eastAsia="楷体_GB2312"/>
          <w:sz w:val="25"/>
          <w:szCs w:val="25"/>
        </w:rPr>
        <w:t>完成</w:t>
      </w:r>
      <w:r>
        <w:rPr>
          <w:rFonts w:hint="eastAsia" w:eastAsia="楷体_GB2312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hint="eastAsia" w:eastAsia="楷体_GB2312"/>
          <w:sz w:val="25"/>
          <w:szCs w:val="25"/>
        </w:rPr>
        <w:t>常州博瑞电力自动化设备有限公司</w:t>
      </w:r>
    </w:p>
    <w:p w14:paraId="5BF20BE7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六</w:t>
      </w:r>
      <w:r>
        <w:rPr>
          <w:rFonts w:eastAsia="楷体_GB2312"/>
          <w:sz w:val="25"/>
          <w:szCs w:val="25"/>
        </w:rPr>
        <w:t>完成</w:t>
      </w:r>
      <w:r>
        <w:rPr>
          <w:rFonts w:hint="eastAsia" w:eastAsia="楷体_GB2312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hint="eastAsia" w:eastAsia="楷体_GB2312"/>
          <w:sz w:val="25"/>
          <w:szCs w:val="25"/>
        </w:rPr>
        <w:t>国网经济技术研究院有限公司</w:t>
      </w:r>
    </w:p>
    <w:p w14:paraId="5BF20BE8">
      <w:pPr>
        <w:spacing w:before="120" w:beforeLines="50" w:after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eastAsia="楷体_GB2312"/>
          <w:sz w:val="25"/>
          <w:szCs w:val="25"/>
        </w:rPr>
        <w:t>第</w:t>
      </w:r>
      <w:r>
        <w:rPr>
          <w:rFonts w:hint="eastAsia" w:eastAsia="楷体_GB2312"/>
          <w:sz w:val="25"/>
          <w:szCs w:val="25"/>
        </w:rPr>
        <w:t>七</w:t>
      </w:r>
      <w:r>
        <w:rPr>
          <w:rFonts w:eastAsia="楷体_GB2312"/>
          <w:sz w:val="25"/>
          <w:szCs w:val="25"/>
        </w:rPr>
        <w:t>完成</w:t>
      </w:r>
      <w:r>
        <w:rPr>
          <w:rFonts w:hint="eastAsia" w:eastAsia="楷体_GB2312"/>
          <w:sz w:val="25"/>
          <w:szCs w:val="25"/>
        </w:rPr>
        <w:t>单位</w:t>
      </w:r>
      <w:r>
        <w:rPr>
          <w:rFonts w:eastAsia="楷体_GB2312"/>
          <w:sz w:val="25"/>
          <w:szCs w:val="25"/>
        </w:rPr>
        <w:t>：</w:t>
      </w:r>
      <w:r>
        <w:rPr>
          <w:rFonts w:hint="eastAsia" w:eastAsia="楷体_GB2312"/>
          <w:sz w:val="25"/>
          <w:szCs w:val="25"/>
        </w:rPr>
        <w:t>国网山西省电力有限公司</w:t>
      </w:r>
    </w:p>
    <w:p w14:paraId="5BF20BE9">
      <w:pPr>
        <w:spacing w:before="120" w:beforeLines="50" w:after="120" w:afterLines="50" w:line="360" w:lineRule="auto"/>
        <w:rPr>
          <w:rFonts w:eastAsia="楷体"/>
          <w:b/>
          <w:sz w:val="28"/>
          <w:szCs w:val="28"/>
        </w:rPr>
      </w:pPr>
      <w:r>
        <w:rPr>
          <w:rFonts w:hint="eastAsia" w:eastAsia="楷体"/>
          <w:b/>
          <w:sz w:val="28"/>
          <w:szCs w:val="28"/>
        </w:rPr>
        <w:t>合作关系说明</w:t>
      </w:r>
      <w:r>
        <w:rPr>
          <w:rFonts w:eastAsia="楷体"/>
          <w:b/>
          <w:sz w:val="28"/>
          <w:szCs w:val="28"/>
        </w:rPr>
        <w:t>：</w:t>
      </w:r>
    </w:p>
    <w:p w14:paraId="5BF20BEA">
      <w:pPr>
        <w:spacing w:before="120" w:beforeLines="50" w:after="120" w:afterLines="50" w:line="360" w:lineRule="auto"/>
        <w:ind w:firstLine="500" w:firstLineChars="200"/>
        <w:rPr>
          <w:rFonts w:eastAsia="楷体_GB2312"/>
          <w:sz w:val="25"/>
          <w:szCs w:val="25"/>
        </w:rPr>
      </w:pPr>
      <w:r>
        <w:rPr>
          <w:rFonts w:hint="eastAsia" w:eastAsia="楷体_GB2312"/>
          <w:sz w:val="25"/>
          <w:szCs w:val="25"/>
        </w:rPr>
        <w:t>本项目由太原理工大学牵头，国网山西经研院、华北电力大学、国网山西公司、清华大学、常州博瑞和国网经研院共同参与，形成“高校理论研究、电网需求牵引、装备技术支撑、工程示范应用”协同攻关机制。其中，太原理工大学负责总体组织和技术统筹；国网山西经研院、国网山西公司和国网经研院支撑规划、调度、市场和工程应用；华北电力大学、清华大学和常州博瑞分别支撑储能规划运行理论、飞轮储能装备和构网型电力电子装备研发。</w:t>
      </w:r>
    </w:p>
    <w:p w14:paraId="5BF20BEB">
      <w:pPr>
        <w:spacing w:before="120" w:beforeLines="50" w:line="360" w:lineRule="auto"/>
        <w:rPr>
          <w:rFonts w:eastAsia="楷体_GB2312"/>
          <w:sz w:val="25"/>
          <w:szCs w:val="25"/>
        </w:rPr>
      </w:pPr>
    </w:p>
    <w:sectPr>
      <w:type w:val="continuous"/>
      <w:pgSz w:w="11907" w:h="16840"/>
      <w:pgMar w:top="1134" w:right="1247" w:bottom="1247" w:left="1247" w:header="720" w:footer="1332" w:gutter="0"/>
      <w:cols w:space="397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922C8B"/>
    <w:multiLevelType w:val="multilevel"/>
    <w:tmpl w:val="6E922C8B"/>
    <w:lvl w:ilvl="0" w:tentative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HorizontalSpacing w:val="120"/>
  <w:drawingGridVerticalSpacing w:val="163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2A"/>
    <w:rsid w:val="00002497"/>
    <w:rsid w:val="00060092"/>
    <w:rsid w:val="00074A4D"/>
    <w:rsid w:val="00081078"/>
    <w:rsid w:val="000954A2"/>
    <w:rsid w:val="000A4107"/>
    <w:rsid w:val="000B20F4"/>
    <w:rsid w:val="000F061F"/>
    <w:rsid w:val="00134B22"/>
    <w:rsid w:val="00192912"/>
    <w:rsid w:val="001C6DDD"/>
    <w:rsid w:val="001D3491"/>
    <w:rsid w:val="001D7D8A"/>
    <w:rsid w:val="001D7E14"/>
    <w:rsid w:val="001E4EB7"/>
    <w:rsid w:val="0020463C"/>
    <w:rsid w:val="00213889"/>
    <w:rsid w:val="00244F47"/>
    <w:rsid w:val="00250D2A"/>
    <w:rsid w:val="002C2333"/>
    <w:rsid w:val="002D7CCC"/>
    <w:rsid w:val="00325244"/>
    <w:rsid w:val="0036645F"/>
    <w:rsid w:val="003A277D"/>
    <w:rsid w:val="003F21F2"/>
    <w:rsid w:val="00414B70"/>
    <w:rsid w:val="00422C07"/>
    <w:rsid w:val="00444DA4"/>
    <w:rsid w:val="0048516E"/>
    <w:rsid w:val="004D1380"/>
    <w:rsid w:val="004E3133"/>
    <w:rsid w:val="004E4EB8"/>
    <w:rsid w:val="005166F4"/>
    <w:rsid w:val="00620569"/>
    <w:rsid w:val="00644297"/>
    <w:rsid w:val="00687C0B"/>
    <w:rsid w:val="006B40BE"/>
    <w:rsid w:val="006B6802"/>
    <w:rsid w:val="006F0BFA"/>
    <w:rsid w:val="00701088"/>
    <w:rsid w:val="00710B49"/>
    <w:rsid w:val="00723D7F"/>
    <w:rsid w:val="0078726C"/>
    <w:rsid w:val="007916B7"/>
    <w:rsid w:val="0084237B"/>
    <w:rsid w:val="008742E4"/>
    <w:rsid w:val="008C341B"/>
    <w:rsid w:val="008C7958"/>
    <w:rsid w:val="008D03D3"/>
    <w:rsid w:val="009104D4"/>
    <w:rsid w:val="00945796"/>
    <w:rsid w:val="00961689"/>
    <w:rsid w:val="009926AF"/>
    <w:rsid w:val="00996466"/>
    <w:rsid w:val="009B6C06"/>
    <w:rsid w:val="009E75DE"/>
    <w:rsid w:val="00A1273B"/>
    <w:rsid w:val="00A60AA9"/>
    <w:rsid w:val="00A70465"/>
    <w:rsid w:val="00A95299"/>
    <w:rsid w:val="00AA0A84"/>
    <w:rsid w:val="00AC6FFD"/>
    <w:rsid w:val="00AF29AD"/>
    <w:rsid w:val="00B04A8D"/>
    <w:rsid w:val="00B110CE"/>
    <w:rsid w:val="00B70B6A"/>
    <w:rsid w:val="00B769CF"/>
    <w:rsid w:val="00BC0E5C"/>
    <w:rsid w:val="00BF2FD5"/>
    <w:rsid w:val="00C07A2B"/>
    <w:rsid w:val="00C127BB"/>
    <w:rsid w:val="00C651C7"/>
    <w:rsid w:val="00C818AA"/>
    <w:rsid w:val="00C910F1"/>
    <w:rsid w:val="00D9326A"/>
    <w:rsid w:val="00DC1BDD"/>
    <w:rsid w:val="00DD04CB"/>
    <w:rsid w:val="00E01DF5"/>
    <w:rsid w:val="00E609EF"/>
    <w:rsid w:val="00E83C39"/>
    <w:rsid w:val="00E9207D"/>
    <w:rsid w:val="00ED352C"/>
    <w:rsid w:val="00EE0B51"/>
    <w:rsid w:val="00EF0E81"/>
    <w:rsid w:val="00EF776B"/>
    <w:rsid w:val="00F21F51"/>
    <w:rsid w:val="00F77A3A"/>
    <w:rsid w:val="00F8677D"/>
    <w:rsid w:val="00F95B36"/>
    <w:rsid w:val="00FA1C91"/>
    <w:rsid w:val="00FA34C4"/>
    <w:rsid w:val="01335947"/>
    <w:rsid w:val="01675424"/>
    <w:rsid w:val="01C82B83"/>
    <w:rsid w:val="033B0B88"/>
    <w:rsid w:val="058E62BB"/>
    <w:rsid w:val="077F235F"/>
    <w:rsid w:val="07875DBD"/>
    <w:rsid w:val="07890108"/>
    <w:rsid w:val="0A046C48"/>
    <w:rsid w:val="0D407A12"/>
    <w:rsid w:val="0D461D1E"/>
    <w:rsid w:val="0D9E0CEE"/>
    <w:rsid w:val="10E85A37"/>
    <w:rsid w:val="113849FC"/>
    <w:rsid w:val="121A38DD"/>
    <w:rsid w:val="1A137CB1"/>
    <w:rsid w:val="1A6A7BF0"/>
    <w:rsid w:val="1FA17B7C"/>
    <w:rsid w:val="211E72A6"/>
    <w:rsid w:val="25667577"/>
    <w:rsid w:val="282A7D40"/>
    <w:rsid w:val="2A836257"/>
    <w:rsid w:val="2AF37C06"/>
    <w:rsid w:val="2DC86010"/>
    <w:rsid w:val="2DD315E8"/>
    <w:rsid w:val="2E8B1A94"/>
    <w:rsid w:val="31884782"/>
    <w:rsid w:val="322D0748"/>
    <w:rsid w:val="33EF4FAE"/>
    <w:rsid w:val="37CC4D84"/>
    <w:rsid w:val="38394C4C"/>
    <w:rsid w:val="3C6E7762"/>
    <w:rsid w:val="3CE32847"/>
    <w:rsid w:val="3CEF76E8"/>
    <w:rsid w:val="3D537AC1"/>
    <w:rsid w:val="400A4DCE"/>
    <w:rsid w:val="41A65A51"/>
    <w:rsid w:val="41A83AD3"/>
    <w:rsid w:val="44BB6FF6"/>
    <w:rsid w:val="472F7531"/>
    <w:rsid w:val="473D7629"/>
    <w:rsid w:val="47AB6070"/>
    <w:rsid w:val="4A37653A"/>
    <w:rsid w:val="4B2A5372"/>
    <w:rsid w:val="4BB33DFA"/>
    <w:rsid w:val="4C031A29"/>
    <w:rsid w:val="4D644BB9"/>
    <w:rsid w:val="4DF218F7"/>
    <w:rsid w:val="4F2307E8"/>
    <w:rsid w:val="4F574DD7"/>
    <w:rsid w:val="4FB929CA"/>
    <w:rsid w:val="506D6BB0"/>
    <w:rsid w:val="516D339C"/>
    <w:rsid w:val="55192F83"/>
    <w:rsid w:val="56F612D5"/>
    <w:rsid w:val="57AA735F"/>
    <w:rsid w:val="59557E8C"/>
    <w:rsid w:val="5A057F2C"/>
    <w:rsid w:val="5AC01152"/>
    <w:rsid w:val="5BDC62AB"/>
    <w:rsid w:val="5CB20E5C"/>
    <w:rsid w:val="61644D99"/>
    <w:rsid w:val="61C72A01"/>
    <w:rsid w:val="622F46C1"/>
    <w:rsid w:val="62A57919"/>
    <w:rsid w:val="6405286E"/>
    <w:rsid w:val="641066DF"/>
    <w:rsid w:val="645E725F"/>
    <w:rsid w:val="656E6E10"/>
    <w:rsid w:val="698A6FB3"/>
    <w:rsid w:val="69A92C1A"/>
    <w:rsid w:val="6A2A6786"/>
    <w:rsid w:val="6B155376"/>
    <w:rsid w:val="6BA732DA"/>
    <w:rsid w:val="6CC308D2"/>
    <w:rsid w:val="6CD33623"/>
    <w:rsid w:val="6D513D82"/>
    <w:rsid w:val="70DE44CA"/>
    <w:rsid w:val="71546768"/>
    <w:rsid w:val="71674D3A"/>
    <w:rsid w:val="72933BD3"/>
    <w:rsid w:val="746046A8"/>
    <w:rsid w:val="762D2A68"/>
    <w:rsid w:val="76363E1B"/>
    <w:rsid w:val="76C522EC"/>
    <w:rsid w:val="772F74E5"/>
    <w:rsid w:val="795C2981"/>
    <w:rsid w:val="7D4A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" w:hAnsi="Times New Roman" w:eastAsia="楷体" w:cs="楷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TYUT</Company>
  <Pages>3</Pages>
  <Words>1343</Words>
  <Characters>2215</Characters>
  <Lines>19</Lines>
  <Paragraphs>5</Paragraphs>
  <TotalTime>5</TotalTime>
  <ScaleCrop>false</ScaleCrop>
  <LinksUpToDate>false</LinksUpToDate>
  <CharactersWithSpaces>2385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2023-10-13T06:45:00Z</dcterms:created>
  <dc:creator>Wyh</dc:creator>
  <cp:lastModifiedBy>许嘉禾</cp:lastModifiedBy>
  <dcterms:modified xsi:type="dcterms:W3CDTF">2026-07-12T01:55:06Z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435D00513923418DA6C2DEF422EB68AC_13</vt:lpwstr>
  </property>
  <property fmtid="{D5CDD505-2E9C-101B-9397-08002B2CF9AE}" pid="4" name="KSOTemplateDocerSaveRecord">
    <vt:lpwstr>eyJoZGlkIjoiM2MwMDdhMDMzZmNiZTI1YjIzZmRmNTc1ODEyYzE4OTgiLCJ1c2VySWQiOiIxNzEwMDQ5NDg1In0=</vt:lpwstr>
  </property>
</Properties>
</file>