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5050C">
      <w:pPr>
        <w:jc w:val="center"/>
        <w:rPr>
          <w:rStyle w:val="36"/>
          <w:rFonts w:eastAsia="仿宋_GB2312"/>
          <w:b w:val="0"/>
          <w:color w:val="auto"/>
          <w:sz w:val="32"/>
          <w:szCs w:val="32"/>
        </w:rPr>
      </w:pPr>
      <w:r>
        <w:rPr>
          <w:rStyle w:val="36"/>
          <w:rFonts w:eastAsia="方正小标宋简体"/>
          <w:b w:val="0"/>
          <w:color w:val="auto"/>
          <w:sz w:val="36"/>
          <w:szCs w:val="36"/>
        </w:rPr>
        <w:t>浙江省科学技术奖公示信息表</w:t>
      </w:r>
      <w:r>
        <w:rPr>
          <w:rStyle w:val="36"/>
          <w:rFonts w:eastAsia="仿宋_GB2312"/>
          <w:b w:val="0"/>
          <w:color w:val="auto"/>
          <w:sz w:val="32"/>
          <w:szCs w:val="32"/>
        </w:rPr>
        <w:t>（单位提名）</w:t>
      </w:r>
    </w:p>
    <w:p w14:paraId="3F8626CF">
      <w:pPr>
        <w:jc w:val="center"/>
        <w:rPr>
          <w:rStyle w:val="36"/>
          <w:rFonts w:eastAsia="仿宋_GB2312"/>
          <w:b w:val="0"/>
          <w:color w:val="auto"/>
          <w:sz w:val="32"/>
          <w:szCs w:val="32"/>
        </w:rPr>
      </w:pPr>
    </w:p>
    <w:p w14:paraId="7B66F060">
      <w:pPr>
        <w:spacing w:line="440" w:lineRule="exact"/>
        <w:rPr>
          <w:rFonts w:eastAsia="仿宋_GB2312"/>
          <w:sz w:val="28"/>
          <w:szCs w:val="24"/>
        </w:rPr>
      </w:pPr>
      <w:r>
        <w:rPr>
          <w:rFonts w:eastAsia="仿宋_GB2312"/>
          <w:sz w:val="28"/>
          <w:szCs w:val="24"/>
        </w:rPr>
        <w:t>提名奖项：科学技术进步奖</w:t>
      </w:r>
    </w:p>
    <w:tbl>
      <w:tblPr>
        <w:tblStyle w:val="16"/>
        <w:tblW w:w="8506"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9"/>
        <w:gridCol w:w="6237"/>
      </w:tblGrid>
      <w:tr w14:paraId="474C6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2269" w:type="dxa"/>
            <w:vAlign w:val="center"/>
          </w:tcPr>
          <w:p w14:paraId="57361E47">
            <w:pPr>
              <w:jc w:val="center"/>
              <w:rPr>
                <w:rStyle w:val="36"/>
                <w:rFonts w:eastAsia="仿宋_GB2312"/>
                <w:b w:val="0"/>
                <w:color w:val="auto"/>
                <w:sz w:val="28"/>
              </w:rPr>
            </w:pPr>
            <w:r>
              <w:rPr>
                <w:rStyle w:val="36"/>
                <w:rFonts w:eastAsia="仿宋_GB2312"/>
                <w:b w:val="0"/>
                <w:bCs w:val="0"/>
                <w:color w:val="auto"/>
                <w:sz w:val="28"/>
              </w:rPr>
              <w:t>成果名称</w:t>
            </w:r>
          </w:p>
        </w:tc>
        <w:tc>
          <w:tcPr>
            <w:tcW w:w="6237" w:type="dxa"/>
            <w:vAlign w:val="center"/>
          </w:tcPr>
          <w:p w14:paraId="364719FD">
            <w:pPr>
              <w:jc w:val="center"/>
              <w:rPr>
                <w:rFonts w:ascii="方正仿宋_GB2312" w:hAnsi="方正仿宋_GB2312" w:eastAsia="方正仿宋_GB2312" w:cs="方正仿宋_GB2312"/>
                <w:color w:val="000000" w:themeColor="text1"/>
                <w:sz w:val="28"/>
                <w:szCs w:val="28"/>
                <w14:textFill>
                  <w14:solidFill>
                    <w14:schemeClr w14:val="tx1"/>
                  </w14:solidFill>
                </w14:textFill>
              </w:rPr>
            </w:pPr>
            <w:r>
              <w:rPr>
                <w:rStyle w:val="36"/>
                <w:rFonts w:hint="eastAsia" w:ascii="方正仿宋_GB2312" w:hAnsi="方正仿宋_GB2312" w:eastAsia="方正仿宋_GB2312" w:cs="方正仿宋_GB2312"/>
                <w:b w:val="0"/>
                <w:bCs w:val="0"/>
                <w:color w:val="000000" w:themeColor="text1"/>
                <w:sz w:val="28"/>
                <w:szCs w:val="28"/>
                <w14:textFill>
                  <w14:solidFill>
                    <w14:schemeClr w14:val="tx1"/>
                  </w14:solidFill>
                </w14:textFill>
              </w:rPr>
              <w:t>面向高比例新能源接入的串联型潮流控制关键技术、装备及应用</w:t>
            </w:r>
          </w:p>
        </w:tc>
      </w:tr>
      <w:tr w14:paraId="6B4CB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trPr>
        <w:tc>
          <w:tcPr>
            <w:tcW w:w="2269" w:type="dxa"/>
            <w:vAlign w:val="center"/>
          </w:tcPr>
          <w:p w14:paraId="42D6EEC8">
            <w:pPr>
              <w:jc w:val="center"/>
              <w:rPr>
                <w:rStyle w:val="36"/>
                <w:rFonts w:eastAsia="仿宋_GB2312"/>
                <w:b w:val="0"/>
                <w:color w:val="auto"/>
                <w:sz w:val="28"/>
              </w:rPr>
            </w:pPr>
            <w:r>
              <w:rPr>
                <w:rStyle w:val="36"/>
                <w:rFonts w:eastAsia="仿宋_GB2312"/>
                <w:b w:val="0"/>
                <w:bCs w:val="0"/>
                <w:color w:val="auto"/>
                <w:sz w:val="28"/>
              </w:rPr>
              <w:t>提名等级</w:t>
            </w:r>
          </w:p>
        </w:tc>
        <w:tc>
          <w:tcPr>
            <w:tcW w:w="6237" w:type="dxa"/>
            <w:vAlign w:val="center"/>
          </w:tcPr>
          <w:p w14:paraId="508C3FD0">
            <w:pPr>
              <w:jc w:val="center"/>
              <w:rPr>
                <w:rFonts w:ascii="方正仿宋_GB2312" w:hAnsi="方正仿宋_GB2312" w:eastAsia="方正仿宋_GB2312" w:cs="方正仿宋_GB2312"/>
                <w:color w:val="000000" w:themeColor="text1"/>
                <w:sz w:val="28"/>
                <w:szCs w:val="28"/>
                <w14:textFill>
                  <w14:solidFill>
                    <w14:schemeClr w14:val="tx1"/>
                  </w14:solidFill>
                </w14:textFill>
              </w:rPr>
            </w:pPr>
            <w:r>
              <w:rPr>
                <w:rStyle w:val="36"/>
                <w:rFonts w:hint="eastAsia" w:ascii="方正仿宋_GB2312" w:hAnsi="方正仿宋_GB2312" w:eastAsia="方正仿宋_GB2312" w:cs="方正仿宋_GB2312"/>
                <w:b w:val="0"/>
                <w:bCs w:val="0"/>
                <w:color w:val="000000" w:themeColor="text1"/>
                <w:sz w:val="28"/>
                <w:szCs w:val="28"/>
                <w14:textFill>
                  <w14:solidFill>
                    <w14:schemeClr w14:val="tx1"/>
                  </w14:solidFill>
                </w14:textFill>
              </w:rPr>
              <w:t>科学技术进步奖一等奖</w:t>
            </w:r>
          </w:p>
        </w:tc>
      </w:tr>
      <w:tr w14:paraId="529A0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1" w:hRule="atLeast"/>
        </w:trPr>
        <w:tc>
          <w:tcPr>
            <w:tcW w:w="2269" w:type="dxa"/>
            <w:vAlign w:val="center"/>
          </w:tcPr>
          <w:p w14:paraId="363AA6F3">
            <w:pPr>
              <w:spacing w:line="440" w:lineRule="exact"/>
              <w:jc w:val="center"/>
              <w:rPr>
                <w:rFonts w:eastAsia="仿宋_GB2312"/>
                <w:bCs/>
                <w:sz w:val="28"/>
                <w:szCs w:val="24"/>
              </w:rPr>
            </w:pPr>
            <w:r>
              <w:rPr>
                <w:rFonts w:eastAsia="仿宋_GB2312"/>
                <w:bCs/>
                <w:sz w:val="28"/>
                <w:szCs w:val="24"/>
              </w:rPr>
              <w:t>提名书</w:t>
            </w:r>
          </w:p>
          <w:p w14:paraId="2EE69BD4">
            <w:pPr>
              <w:spacing w:line="440" w:lineRule="exact"/>
              <w:jc w:val="center"/>
              <w:rPr>
                <w:rFonts w:eastAsia="仿宋_GB2312"/>
                <w:bCs/>
                <w:sz w:val="28"/>
                <w:szCs w:val="24"/>
              </w:rPr>
            </w:pPr>
            <w:r>
              <w:rPr>
                <w:rFonts w:eastAsia="仿宋_GB2312"/>
                <w:bCs/>
                <w:sz w:val="28"/>
                <w:szCs w:val="24"/>
              </w:rPr>
              <w:t>相关内容</w:t>
            </w:r>
          </w:p>
        </w:tc>
        <w:tc>
          <w:tcPr>
            <w:tcW w:w="6237" w:type="dxa"/>
            <w:vAlign w:val="center"/>
          </w:tcPr>
          <w:p w14:paraId="15290A7E">
            <w:pPr>
              <w:spacing w:line="440" w:lineRule="exact"/>
              <w:jc w:val="left"/>
              <w:rPr>
                <w:rFonts w:hint="eastAsia"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1. 一种用于降低模块化多电平换流器开关器件承压的控制方法. ZL201810316560.6. 陆翌, 李继红, 裘鹏, 徐政, 徐雨哲, 肖晃庆. 国家电网公司,国网浙江省电力有限公司,国网浙江省电力有限公司电力科学研究院.</w:t>
            </w:r>
          </w:p>
          <w:p w14:paraId="4E971494">
            <w:pPr>
              <w:spacing w:line="440" w:lineRule="exact"/>
              <w:jc w:val="left"/>
              <w:rPr>
                <w:rFonts w:hint="eastAsia"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2. 混合架构下的风电交流故障穿越方法、装置、设备及介质</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ZL202511</w:t>
            </w:r>
            <w:bookmarkStart w:id="0" w:name="_GoBack"/>
            <w:bookmarkEnd w:id="0"/>
            <w:r>
              <w:rPr>
                <w:rFonts w:hint="eastAsia" w:ascii="方正仿宋_GB2312" w:hAnsi="方正仿宋_GB2312" w:eastAsia="方正仿宋_GB2312" w:cs="方正仿宋_GB2312"/>
                <w:bCs/>
                <w:color w:val="000000" w:themeColor="text1"/>
                <w:sz w:val="24"/>
                <w:szCs w:val="24"/>
                <w14:textFill>
                  <w14:solidFill>
                    <w14:schemeClr w14:val="tx1"/>
                  </w14:solidFill>
                </w14:textFill>
              </w:rPr>
              <w:t>872413.3. 陆翌, 谢浩铠</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倪晓军</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裘鹏, 丁超</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干方宇</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李子明, 姚焱遐</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国网浙江省电力有限公司电力科学研究院.</w:t>
            </w:r>
          </w:p>
          <w:p w14:paraId="0DBAC781">
            <w:pPr>
              <w:spacing w:line="440" w:lineRule="exact"/>
              <w:jc w:val="left"/>
              <w:rPr>
                <w:rFonts w:hint="eastAsia"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3. 分布式潮流控制器最大潮流转移能力计算方法及系统</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ZL202110113306.8. 裘鹏, 陆承宇</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陆翌, 王松</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项中明, 潘武略</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浙江大学, 国网浙江省电力有限公司电力科学研究院.</w:t>
            </w:r>
          </w:p>
          <w:p w14:paraId="5D91F5DC">
            <w:pPr>
              <w:spacing w:line="440" w:lineRule="exact"/>
              <w:jc w:val="left"/>
              <w:rPr>
                <w:rFonts w:hint="eastAsia"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4</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双线运行模式下分布式潮流控制器的重启动方法及系统</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ZL202011345174.3. 陈骞, 裘鹏, 王松</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陆翌, 黄晓明</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陆承宇</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项中明, 潘武略</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谢浩铠</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陈明, 戚宣威</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李心宇</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丁超</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郑眉</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林进钿</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国网浙江省电力有限公司电力科学研究院.</w:t>
            </w:r>
          </w:p>
          <w:p w14:paraId="5031E7C4">
            <w:pPr>
              <w:spacing w:line="440" w:lineRule="exact"/>
              <w:jc w:val="left"/>
              <w:rPr>
                <w:rFonts w:hint="eastAsia"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5</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降低装置整体损耗的分布式潮流控制器协调出力分配方法</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ZL202211284877.9. 吴俊健</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陈骞, 裘鹏, 陆翌, 许烽</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谢浩铠</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倪晓军</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丁超</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郑眉</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国网浙江省电力有限公司电力科学研究院.</w:t>
            </w:r>
          </w:p>
          <w:p w14:paraId="7FC93E60">
            <w:pPr>
              <w:spacing w:line="440" w:lineRule="exact"/>
              <w:jc w:val="left"/>
              <w:rPr>
                <w:rFonts w:hint="eastAsia"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 xml:space="preserve">6. </w:t>
            </w: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一种静止同步串联补偿器的自励启动系统及方法. ZL201710099138.5. 陆振纲, 宋洁莹, 尉志勇, 赵国亮, 蔡林海, 刘云, 霍现旭, 于建成, 宋方方. 全球能源互联网研究院, 国家电网公司, 国网天津市电力公司.</w:t>
            </w:r>
          </w:p>
          <w:p w14:paraId="25CE69EB">
            <w:pPr>
              <w:spacing w:line="440" w:lineRule="exact"/>
              <w:jc w:val="left"/>
              <w:rPr>
                <w:rFonts w:hint="eastAsia"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7. Insulation Coordination Method and System for a Series Compensation Apparatus, Storage Medium and Electronic Device. US 11062078B1. 葛菁, 陆振纲, 赵国亮, 蔡林海, 刘海军. 全球能源互联网研究院有限公司, 国家电网有限公司.</w:t>
            </w:r>
          </w:p>
          <w:p w14:paraId="786B8B88">
            <w:pPr>
              <w:spacing w:line="440" w:lineRule="exact"/>
              <w:jc w:val="left"/>
              <w:rPr>
                <w:rFonts w:hint="eastAsia"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8. 分布式潮流控制器对系统功率控制的研究. 电力系统保护与控制. 唐爱红, 卢俊, 宣俭, 袁玮, 王少荣.</w:t>
            </w:r>
          </w:p>
          <w:p w14:paraId="3009A567">
            <w:pPr>
              <w:spacing w:line="440" w:lineRule="exact"/>
              <w:jc w:val="left"/>
              <w:rPr>
                <w:rFonts w:hint="eastAsia"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9. Research on the Harmonic Currents Rates for the Exchanged Energy of Unified Distributed Power Flow Controller. IET Generation, Transmission &amp; Distribution. 唐爱红, 马璐璐, 裘鹏, 宋金根, 陈骞, 管敏渊, 宋幸, 熊斌宇.</w:t>
            </w:r>
          </w:p>
          <w:p w14:paraId="37C01299">
            <w:pPr>
              <w:spacing w:line="440" w:lineRule="exact"/>
              <w:jc w:val="lef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10. 分布式潮流控制器技术及应用. 中国电力出版社. 裘鹏, 陈骞, 陆翌, 金玉琪等.</w:t>
            </w:r>
          </w:p>
        </w:tc>
      </w:tr>
      <w:tr w14:paraId="3C373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8" w:hRule="atLeast"/>
        </w:trPr>
        <w:tc>
          <w:tcPr>
            <w:tcW w:w="2269" w:type="dxa"/>
            <w:tcBorders>
              <w:right w:val="single" w:color="auto" w:sz="4" w:space="0"/>
            </w:tcBorders>
            <w:vAlign w:val="center"/>
          </w:tcPr>
          <w:p w14:paraId="312D7F41">
            <w:pPr>
              <w:spacing w:line="440" w:lineRule="exact"/>
              <w:jc w:val="center"/>
              <w:rPr>
                <w:rFonts w:eastAsia="仿宋_GB2312"/>
                <w:bCs/>
                <w:sz w:val="28"/>
                <w:szCs w:val="24"/>
              </w:rPr>
            </w:pPr>
            <w:r>
              <w:rPr>
                <w:rFonts w:eastAsia="仿宋_GB2312"/>
                <w:bCs/>
                <w:sz w:val="28"/>
                <w:szCs w:val="24"/>
              </w:rPr>
              <w:t>主要完成人</w:t>
            </w:r>
          </w:p>
        </w:tc>
        <w:tc>
          <w:tcPr>
            <w:tcW w:w="6237" w:type="dxa"/>
            <w:tcBorders>
              <w:left w:val="single" w:color="auto" w:sz="4" w:space="0"/>
            </w:tcBorders>
            <w:vAlign w:val="center"/>
          </w:tcPr>
          <w:p w14:paraId="4167C8FD">
            <w:pPr>
              <w:spacing w:line="440" w:lineRule="exac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陆  翌，排名1，正高，国网浙江省电力有限公司电力科学研究院</w:t>
            </w:r>
          </w:p>
          <w:p w14:paraId="119FF7AF">
            <w:pPr>
              <w:spacing w:line="440" w:lineRule="exac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陆振纲，排名2，正高，中国电力科学研究院有限公司；</w:t>
            </w:r>
          </w:p>
          <w:p w14:paraId="2B9C123E">
            <w:pPr>
              <w:spacing w:line="440" w:lineRule="exac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唐爱红，排名3，正高，武汉理工大学</w:t>
            </w:r>
          </w:p>
          <w:p w14:paraId="646D2A5B">
            <w:pPr>
              <w:spacing w:line="440" w:lineRule="exac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裘  鹏，排名4，正高，国网浙江省电力有限公司电力科学研究院</w:t>
            </w:r>
          </w:p>
          <w:p w14:paraId="7C40C0E4">
            <w:pPr>
              <w:spacing w:line="440" w:lineRule="exac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陈  骞，排名5，正高，国网浙江省电力有限公司电力科学研究院</w:t>
            </w:r>
          </w:p>
          <w:p w14:paraId="5BD0D0F2">
            <w:pPr>
              <w:spacing w:line="440" w:lineRule="exac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王少荣，排名6，正高，华中科技大学</w:t>
            </w:r>
          </w:p>
          <w:p w14:paraId="280F43C8">
            <w:pPr>
              <w:spacing w:line="440" w:lineRule="exac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李子明，排名7，中级，国网浙江省电力有限公司电力科学研究院</w:t>
            </w:r>
          </w:p>
          <w:p w14:paraId="621F982B">
            <w:pPr>
              <w:spacing w:line="440" w:lineRule="exac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霍现旭，排名8，正高，国网天津市电力公司电力科学研究院</w:t>
            </w:r>
          </w:p>
          <w:p w14:paraId="63A69399">
            <w:pPr>
              <w:spacing w:line="440" w:lineRule="exac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董云龙，排名9，正高，南京南瑞继保电气有限公司</w:t>
            </w:r>
          </w:p>
          <w:p w14:paraId="6FB40DF4">
            <w:pPr>
              <w:spacing w:line="440" w:lineRule="exac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姜  鹏，排名10，正高，中电普瑞电力工程有限公司</w:t>
            </w:r>
          </w:p>
          <w:p w14:paraId="4D6C2983">
            <w:pPr>
              <w:spacing w:line="440" w:lineRule="exac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管敏渊，排名11，正高，国网浙江省电力有限公司湖州供电公司</w:t>
            </w:r>
          </w:p>
          <w:p w14:paraId="4B3709D5">
            <w:pPr>
              <w:spacing w:line="440" w:lineRule="exac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许  挺，排名12，正高，国网浙江省电力有限公司杭州供电公司</w:t>
            </w:r>
          </w:p>
          <w:p w14:paraId="05458FEF">
            <w:pPr>
              <w:spacing w:line="440" w:lineRule="exac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王  荣，排名13，正高，科润智能控制股份有限公司</w:t>
            </w:r>
          </w:p>
        </w:tc>
      </w:tr>
      <w:tr w14:paraId="4A565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6" w:hRule="atLeast"/>
        </w:trPr>
        <w:tc>
          <w:tcPr>
            <w:tcW w:w="2269" w:type="dxa"/>
            <w:tcBorders>
              <w:right w:val="single" w:color="auto" w:sz="4" w:space="0"/>
            </w:tcBorders>
            <w:vAlign w:val="center"/>
          </w:tcPr>
          <w:p w14:paraId="6AE6FB93">
            <w:pPr>
              <w:spacing w:line="440" w:lineRule="exact"/>
              <w:jc w:val="center"/>
              <w:rPr>
                <w:rFonts w:eastAsia="仿宋"/>
                <w:bCs/>
                <w:sz w:val="24"/>
                <w:szCs w:val="24"/>
              </w:rPr>
            </w:pPr>
            <w:r>
              <w:rPr>
                <w:rFonts w:eastAsia="仿宋"/>
                <w:bCs/>
                <w:sz w:val="28"/>
                <w:szCs w:val="24"/>
              </w:rPr>
              <w:t>主要完成单位</w:t>
            </w:r>
          </w:p>
        </w:tc>
        <w:tc>
          <w:tcPr>
            <w:tcW w:w="6237" w:type="dxa"/>
            <w:tcBorders>
              <w:left w:val="single" w:color="auto" w:sz="4" w:space="0"/>
            </w:tcBorders>
            <w:vAlign w:val="center"/>
          </w:tcPr>
          <w:p w14:paraId="5702E6E5">
            <w:pPr>
              <w:spacing w:line="440" w:lineRule="exact"/>
              <w:jc w:val="lef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1. 国网浙江省电力有限公司电力科学研究院</w:t>
            </w:r>
          </w:p>
          <w:p w14:paraId="1109DACD">
            <w:pPr>
              <w:spacing w:line="440" w:lineRule="exact"/>
              <w:jc w:val="lef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2. 中国电力科学研究院有限公司</w:t>
            </w:r>
          </w:p>
          <w:p w14:paraId="11D4AA4E">
            <w:pPr>
              <w:spacing w:line="440" w:lineRule="exact"/>
              <w:jc w:val="lef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3. 武汉理工大学</w:t>
            </w:r>
          </w:p>
          <w:p w14:paraId="2C63DD3B">
            <w:pPr>
              <w:spacing w:line="440" w:lineRule="exact"/>
              <w:jc w:val="lef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4. 南京南瑞继保工程技术有限公司</w:t>
            </w:r>
          </w:p>
          <w:p w14:paraId="75524F49">
            <w:pPr>
              <w:spacing w:line="440" w:lineRule="exact"/>
              <w:jc w:val="lef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5. 华中科技大学</w:t>
            </w:r>
          </w:p>
          <w:p w14:paraId="2EF194C9">
            <w:pPr>
              <w:spacing w:line="440" w:lineRule="exact"/>
              <w:jc w:val="lef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6. 华北电力大学</w:t>
            </w:r>
          </w:p>
          <w:p w14:paraId="376332F6">
            <w:pPr>
              <w:spacing w:line="440" w:lineRule="exact"/>
              <w:jc w:val="lef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7. 国网浙江省电力有限公司杭州供电公司</w:t>
            </w:r>
          </w:p>
          <w:p w14:paraId="55E74CC1">
            <w:pPr>
              <w:spacing w:line="440" w:lineRule="exact"/>
              <w:jc w:val="lef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8. 国网浙江省电力有限公司湖州供电公司</w:t>
            </w:r>
          </w:p>
          <w:p w14:paraId="2012F95E">
            <w:pPr>
              <w:spacing w:line="440" w:lineRule="exact"/>
              <w:jc w:val="left"/>
              <w:rPr>
                <w:rFonts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9. 科润智能控制股份有限公司……</w:t>
            </w:r>
          </w:p>
        </w:tc>
      </w:tr>
      <w:tr w14:paraId="12B1F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trPr>
        <w:tc>
          <w:tcPr>
            <w:tcW w:w="2269" w:type="dxa"/>
            <w:vAlign w:val="center"/>
          </w:tcPr>
          <w:p w14:paraId="2A300FD1">
            <w:pPr>
              <w:jc w:val="center"/>
              <w:rPr>
                <w:rStyle w:val="36"/>
                <w:rFonts w:eastAsia="仿宋_GB2312"/>
                <w:b w:val="0"/>
                <w:color w:val="auto"/>
                <w:sz w:val="28"/>
                <w:szCs w:val="28"/>
              </w:rPr>
            </w:pPr>
            <w:r>
              <w:rPr>
                <w:rStyle w:val="36"/>
                <w:rFonts w:eastAsia="仿宋_GB2312"/>
                <w:b w:val="0"/>
                <w:color w:val="auto"/>
                <w:sz w:val="28"/>
                <w:szCs w:val="28"/>
              </w:rPr>
              <w:t>提名单位</w:t>
            </w:r>
          </w:p>
        </w:tc>
        <w:tc>
          <w:tcPr>
            <w:tcW w:w="6237" w:type="dxa"/>
            <w:vAlign w:val="center"/>
          </w:tcPr>
          <w:p w14:paraId="04765E0B">
            <w:pPr>
              <w:contextualSpacing/>
              <w:jc w:val="center"/>
              <w:rPr>
                <w:rStyle w:val="36"/>
                <w:rFonts w:ascii="方正仿宋_GB2312" w:hAnsi="方正仿宋_GB2312" w:eastAsia="方正仿宋_GB2312" w:cs="方正仿宋_GB2312"/>
                <w:b w:val="0"/>
                <w:color w:val="000000" w:themeColor="text1"/>
                <w14:textFill>
                  <w14:solidFill>
                    <w14:schemeClr w14:val="tx1"/>
                  </w14:solidFill>
                </w14:textFill>
              </w:rPr>
            </w:pPr>
            <w:r>
              <w:rPr>
                <w:rStyle w:val="36"/>
                <w:rFonts w:hint="eastAsia" w:ascii="方正仿宋_GB2312" w:hAnsi="方正仿宋_GB2312" w:eastAsia="方正仿宋_GB2312" w:cs="方正仿宋_GB2312"/>
                <w:b w:val="0"/>
                <w:color w:val="000000" w:themeColor="text1"/>
                <w14:textFill>
                  <w14:solidFill>
                    <w14:schemeClr w14:val="tx1"/>
                  </w14:solidFill>
                </w14:textFill>
              </w:rPr>
              <w:t>杭州市人民政府</w:t>
            </w:r>
          </w:p>
        </w:tc>
      </w:tr>
      <w:tr w14:paraId="2D15E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69" w:hRule="atLeast"/>
        </w:trPr>
        <w:tc>
          <w:tcPr>
            <w:tcW w:w="2269" w:type="dxa"/>
            <w:vAlign w:val="center"/>
          </w:tcPr>
          <w:p w14:paraId="5471701E">
            <w:pPr>
              <w:jc w:val="center"/>
              <w:rPr>
                <w:rStyle w:val="36"/>
                <w:rFonts w:eastAsia="仿宋_GB2312"/>
                <w:b w:val="0"/>
                <w:color w:val="auto"/>
                <w:sz w:val="28"/>
                <w:szCs w:val="28"/>
              </w:rPr>
            </w:pPr>
            <w:r>
              <w:rPr>
                <w:rStyle w:val="36"/>
                <w:rFonts w:eastAsia="仿宋_GB2312"/>
                <w:b w:val="0"/>
                <w:color w:val="auto"/>
                <w:sz w:val="28"/>
                <w:szCs w:val="28"/>
              </w:rPr>
              <w:t>提名意见</w:t>
            </w:r>
          </w:p>
        </w:tc>
        <w:tc>
          <w:tcPr>
            <w:tcW w:w="6237" w:type="dxa"/>
            <w:vAlign w:val="center"/>
          </w:tcPr>
          <w:p w14:paraId="62F02B37">
            <w:pPr>
              <w:spacing w:line="440" w:lineRule="exact"/>
              <w:ind w:firstLine="480" w:firstLineChars="200"/>
              <w:rPr>
                <w:rStyle w:val="36"/>
                <w:rFonts w:ascii="方正仿宋_GB2312" w:hAnsi="方正仿宋_GB2312" w:eastAsia="方正仿宋_GB2312" w:cs="方正仿宋_GB2312"/>
                <w:b w:val="0"/>
                <w:color w:val="000000" w:themeColor="text1"/>
                <w14:textFill>
                  <w14:solidFill>
                    <w14:schemeClr w14:val="tx1"/>
                  </w14:solidFill>
                </w14:textFill>
              </w:rPr>
            </w:pPr>
            <w:r>
              <w:rPr>
                <w:rFonts w:hint="eastAsia" w:ascii="方正仿宋_GB2312" w:hAnsi="方正仿宋_GB2312" w:eastAsia="方正仿宋_GB2312" w:cs="方正仿宋_GB2312"/>
                <w:bCs/>
                <w:color w:val="000000" w:themeColor="text1"/>
                <w:sz w:val="24"/>
                <w:szCs w:val="24"/>
                <w14:textFill>
                  <w14:solidFill>
                    <w14:schemeClr w14:val="tx1"/>
                  </w14:solidFill>
                </w14:textFill>
              </w:rPr>
              <w:t>为解决大规模新能源接入引起的电网断面潮流不均、局部潮流重载与阻塞问题，项目针对串联型潮流控制技术开展研发攻关，首创了串联型模块化潮流控制装备的主电路结构。提出了双全桥并联的子模块拓扑，发明了直接串入线路、分布式接入的装置主电路，研发了无源自启动与高电位取能技术；突破了串联型潮流控制装备的过流防护技术，提出了MOV、串联电抗器、BOD触发过压保护旁路晶闸管、旁路机械开关多重配合的雷电流防护技术，以及器件承压控制、换流模块防开路、换流阀电流快速转移的短路电流防护技术；提出了多回多相线路的潮流精准控制技术，研发了子模块间动态自适应主动重构的协调控制技术，发明了基于电流同步的快速潮流解耦控制技术，实现了多回线路潮流的均衡控制。项目整体成果应用于杭州、湖州和天津的串联型潮流控制器工程，分别以25.92MVA、59.8MVA和30MVA的装置容量撬动提升输电断面200MW、140MW、200MW的供电能力，相关成果产品已推广应用至智利、秘鲁等国家，经济和社会效益显著。项目构建了完整的串联型潮流控制技术体系，经中国电工技术学会鉴定，项目具有自主知识产权，整体技术处于国际领先水平。本项目所研制的世界首套220kV串联型潮流控制器的工程化应用已填补国际空白，其“拓扑-防护-控制”全链条创新，为高比例可再生能源电力系统的安全经济运行提供了经济高效的国产化解决方案，具备在跨区域互联电网、分布式新能源集群接入场景中的规模化推广价值。</w:t>
            </w:r>
          </w:p>
        </w:tc>
      </w:tr>
    </w:tbl>
    <w:p w14:paraId="0D9DDE87">
      <w:pPr>
        <w:adjustRightInd w:val="0"/>
        <w:snapToGrid w:val="0"/>
        <w:spacing w:line="560" w:lineRule="exact"/>
        <w:rPr>
          <w:rFonts w:eastAsia="仿宋_GB2312"/>
          <w:sz w:val="32"/>
          <w:szCs w:val="3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D3612AF-70F0-4B4C-8E89-29DAEF537C65}"/>
  </w:font>
  <w:font w:name="Arial">
    <w:panose1 w:val="020B0604020202020204"/>
    <w:charset w:val="01"/>
    <w:family w:val="swiss"/>
    <w:pitch w:val="default"/>
    <w:sig w:usb0="E0002EFF" w:usb1="C000785B" w:usb2="00000009" w:usb3="00000000" w:csb0="400001FF" w:csb1="FFFF0000"/>
    <w:embedRegular r:id="rId2" w:fontKey="{35D1CD77-3A39-43FE-932D-DC8B51F64C8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F4AB3B13-A112-4096-A71C-742373662A10}"/>
  </w:font>
  <w:font w:name="Symbol">
    <w:panose1 w:val="05050102010706020507"/>
    <w:charset w:val="02"/>
    <w:family w:val="roman"/>
    <w:pitch w:val="default"/>
    <w:sig w:usb0="00000000" w:usb1="00000000" w:usb2="00000000" w:usb3="00000000" w:csb0="80000000" w:csb1="00000000"/>
    <w:embedRegular r:id="rId4" w:fontKey="{E851DEA0-3962-4407-8C5F-82498DCE26FD}"/>
  </w:font>
  <w:font w:name="Calibri">
    <w:panose1 w:val="020F0502020204030204"/>
    <w:charset w:val="00"/>
    <w:family w:val="swiss"/>
    <w:pitch w:val="default"/>
    <w:sig w:usb0="E0002AFF" w:usb1="C000247B" w:usb2="00000009" w:usb3="00000000" w:csb0="200001FF" w:csb1="00000000"/>
    <w:embedRegular r:id="rId5" w:fontKey="{C5A49696-CEED-4586-ADED-CFC57F40D8FB}"/>
  </w:font>
  <w:font w:name="Cambria">
    <w:panose1 w:val="02040503050406030204"/>
    <w:charset w:val="00"/>
    <w:family w:val="roman"/>
    <w:pitch w:val="default"/>
    <w:sig w:usb0="E00006FF" w:usb1="420024FF" w:usb2="02000000" w:usb3="00000000" w:csb0="2000019F" w:csb1="00000000"/>
    <w:embedRegular r:id="rId6" w:fontKey="{E9842F45-69AA-4950-83A4-62BBCEC3CCE3}"/>
  </w:font>
  <w:font w:name="仿宋_GB2312">
    <w:panose1 w:val="02010609030101010101"/>
    <w:charset w:val="86"/>
    <w:family w:val="modern"/>
    <w:pitch w:val="default"/>
    <w:sig w:usb0="00000001" w:usb1="080E0000" w:usb2="00000000" w:usb3="00000000" w:csb0="00040000" w:csb1="00000000"/>
    <w:embedRegular r:id="rId7" w:fontKey="{86F6F26F-EA34-4793-9032-C252E138F091}"/>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script"/>
    <w:pitch w:val="default"/>
    <w:sig w:usb0="00000001" w:usb1="08000000" w:usb2="00000000" w:usb3="00000000" w:csb0="00040000" w:csb1="00000000"/>
    <w:embedRegular r:id="rId8" w:fontKey="{408AE799-430A-4DA0-9371-4F74677DBFBF}"/>
  </w:font>
  <w:font w:name="方正仿宋_GB2312">
    <w:panose1 w:val="02000000000000000000"/>
    <w:charset w:val="86"/>
    <w:family w:val="auto"/>
    <w:pitch w:val="default"/>
    <w:sig w:usb0="A00002BF" w:usb1="184F6CFA" w:usb2="00000012" w:usb3="00000000" w:csb0="00040001" w:csb1="00000000"/>
    <w:embedRegular r:id="rId9" w:fontKey="{B4AC1EE7-ABD7-427C-A5D2-C81CE05A0B5C}"/>
  </w:font>
  <w:font w:name="___WRD_EMBED_SUB_48">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embedRegular r:id="rId10" w:fontKey="{12838668-8DD8-4829-AF4B-AF9FDE6E7F61}"/>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76286816"/>
    </w:sdtPr>
    <w:sdtEndPr>
      <w:rPr>
        <w:sz w:val="21"/>
        <w:szCs w:val="21"/>
      </w:rPr>
    </w:sdtEndPr>
    <w:sdtContent>
      <w:p w14:paraId="2E64DD30">
        <w:pPr>
          <w:pStyle w:val="9"/>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1</w:t>
        </w:r>
        <w:r>
          <w:rPr>
            <w:sz w:val="21"/>
            <w:szCs w:val="21"/>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A16F5">
    <w:pPr>
      <w:ind w:left="420" w:hanging="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embedTrueTypeFonts/>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hNDgxZDBiYzczNDM2YjM1OGQzM2RlOTYzN2FiZTQifQ=="/>
    <w:docVar w:name="KSO_WPS_MARK_KEY" w:val="02f6fdb2-0872-4f38-94b1-cc8e195e9e73"/>
  </w:docVars>
  <w:rsids>
    <w:rsidRoot w:val="007C28FF"/>
    <w:rsid w:val="00006056"/>
    <w:rsid w:val="00007BBE"/>
    <w:rsid w:val="000165DC"/>
    <w:rsid w:val="00031E44"/>
    <w:rsid w:val="00033288"/>
    <w:rsid w:val="0004004D"/>
    <w:rsid w:val="00051BE3"/>
    <w:rsid w:val="00053F24"/>
    <w:rsid w:val="0006546D"/>
    <w:rsid w:val="00067E32"/>
    <w:rsid w:val="00083906"/>
    <w:rsid w:val="000847FC"/>
    <w:rsid w:val="000929AE"/>
    <w:rsid w:val="000A0FE4"/>
    <w:rsid w:val="000B2E39"/>
    <w:rsid w:val="000B70B3"/>
    <w:rsid w:val="000C632A"/>
    <w:rsid w:val="000F1229"/>
    <w:rsid w:val="000F2CC3"/>
    <w:rsid w:val="000F6066"/>
    <w:rsid w:val="000F6517"/>
    <w:rsid w:val="000F6B39"/>
    <w:rsid w:val="000F7732"/>
    <w:rsid w:val="001039E9"/>
    <w:rsid w:val="00104F03"/>
    <w:rsid w:val="00114677"/>
    <w:rsid w:val="0012430D"/>
    <w:rsid w:val="001435CC"/>
    <w:rsid w:val="00153E23"/>
    <w:rsid w:val="00154376"/>
    <w:rsid w:val="001553CE"/>
    <w:rsid w:val="001614FC"/>
    <w:rsid w:val="00165962"/>
    <w:rsid w:val="0017168F"/>
    <w:rsid w:val="00172167"/>
    <w:rsid w:val="001806B8"/>
    <w:rsid w:val="001829B2"/>
    <w:rsid w:val="00185449"/>
    <w:rsid w:val="00192701"/>
    <w:rsid w:val="0019371C"/>
    <w:rsid w:val="001A5554"/>
    <w:rsid w:val="001A55E6"/>
    <w:rsid w:val="001B0C22"/>
    <w:rsid w:val="001B454D"/>
    <w:rsid w:val="001C4D6D"/>
    <w:rsid w:val="001D3908"/>
    <w:rsid w:val="001F032B"/>
    <w:rsid w:val="001F2C76"/>
    <w:rsid w:val="001F7F40"/>
    <w:rsid w:val="00212129"/>
    <w:rsid w:val="00213CE9"/>
    <w:rsid w:val="0021734C"/>
    <w:rsid w:val="002242B0"/>
    <w:rsid w:val="002247F4"/>
    <w:rsid w:val="00230FE9"/>
    <w:rsid w:val="0023223F"/>
    <w:rsid w:val="00244749"/>
    <w:rsid w:val="00247A49"/>
    <w:rsid w:val="00251808"/>
    <w:rsid w:val="002579D1"/>
    <w:rsid w:val="002745F8"/>
    <w:rsid w:val="00283031"/>
    <w:rsid w:val="0029509E"/>
    <w:rsid w:val="00296134"/>
    <w:rsid w:val="002A2925"/>
    <w:rsid w:val="002A7955"/>
    <w:rsid w:val="002B3198"/>
    <w:rsid w:val="002C6803"/>
    <w:rsid w:val="002C6E65"/>
    <w:rsid w:val="002D1FA7"/>
    <w:rsid w:val="002D3BA3"/>
    <w:rsid w:val="002E42A8"/>
    <w:rsid w:val="002E43DB"/>
    <w:rsid w:val="002F1911"/>
    <w:rsid w:val="002F74D2"/>
    <w:rsid w:val="0030543F"/>
    <w:rsid w:val="003063D6"/>
    <w:rsid w:val="00311F89"/>
    <w:rsid w:val="003125EF"/>
    <w:rsid w:val="00326352"/>
    <w:rsid w:val="00330554"/>
    <w:rsid w:val="00331B99"/>
    <w:rsid w:val="00336678"/>
    <w:rsid w:val="00340314"/>
    <w:rsid w:val="00343DF4"/>
    <w:rsid w:val="00347614"/>
    <w:rsid w:val="00356B8A"/>
    <w:rsid w:val="00363C7E"/>
    <w:rsid w:val="00370977"/>
    <w:rsid w:val="00377C1C"/>
    <w:rsid w:val="00382214"/>
    <w:rsid w:val="00382EDD"/>
    <w:rsid w:val="00386D85"/>
    <w:rsid w:val="003A08CF"/>
    <w:rsid w:val="003A343A"/>
    <w:rsid w:val="003A466E"/>
    <w:rsid w:val="003A5D0E"/>
    <w:rsid w:val="003A60A7"/>
    <w:rsid w:val="003B0906"/>
    <w:rsid w:val="003B2A50"/>
    <w:rsid w:val="003B3345"/>
    <w:rsid w:val="003C1234"/>
    <w:rsid w:val="003C4124"/>
    <w:rsid w:val="003E6BFB"/>
    <w:rsid w:val="003F0278"/>
    <w:rsid w:val="003F1E9D"/>
    <w:rsid w:val="003F76A0"/>
    <w:rsid w:val="00401E30"/>
    <w:rsid w:val="004179C8"/>
    <w:rsid w:val="0042367A"/>
    <w:rsid w:val="00427A6E"/>
    <w:rsid w:val="004300EE"/>
    <w:rsid w:val="00442705"/>
    <w:rsid w:val="00444A55"/>
    <w:rsid w:val="0044700B"/>
    <w:rsid w:val="0044760A"/>
    <w:rsid w:val="00453528"/>
    <w:rsid w:val="00453C0E"/>
    <w:rsid w:val="00461A90"/>
    <w:rsid w:val="004820BD"/>
    <w:rsid w:val="00484A1D"/>
    <w:rsid w:val="00484D69"/>
    <w:rsid w:val="004929AC"/>
    <w:rsid w:val="00492EAC"/>
    <w:rsid w:val="004A6419"/>
    <w:rsid w:val="004B13A5"/>
    <w:rsid w:val="004B531C"/>
    <w:rsid w:val="004C2337"/>
    <w:rsid w:val="004D3106"/>
    <w:rsid w:val="004D55B5"/>
    <w:rsid w:val="004E11C6"/>
    <w:rsid w:val="004E36AB"/>
    <w:rsid w:val="004F503B"/>
    <w:rsid w:val="004F551A"/>
    <w:rsid w:val="005002DF"/>
    <w:rsid w:val="00500EBD"/>
    <w:rsid w:val="00504232"/>
    <w:rsid w:val="00510C66"/>
    <w:rsid w:val="00511F4B"/>
    <w:rsid w:val="0051372C"/>
    <w:rsid w:val="00521ED7"/>
    <w:rsid w:val="00526964"/>
    <w:rsid w:val="00532D5A"/>
    <w:rsid w:val="005354E4"/>
    <w:rsid w:val="00552729"/>
    <w:rsid w:val="005563CE"/>
    <w:rsid w:val="005663D6"/>
    <w:rsid w:val="00570701"/>
    <w:rsid w:val="0057414B"/>
    <w:rsid w:val="0057576E"/>
    <w:rsid w:val="0058367D"/>
    <w:rsid w:val="00586D66"/>
    <w:rsid w:val="005A0877"/>
    <w:rsid w:val="005A17EC"/>
    <w:rsid w:val="005A1A1D"/>
    <w:rsid w:val="005A485B"/>
    <w:rsid w:val="005A6276"/>
    <w:rsid w:val="005A6B7D"/>
    <w:rsid w:val="005B5550"/>
    <w:rsid w:val="005B65F0"/>
    <w:rsid w:val="005D2A14"/>
    <w:rsid w:val="005D36E9"/>
    <w:rsid w:val="005E0059"/>
    <w:rsid w:val="005E261D"/>
    <w:rsid w:val="005E49A6"/>
    <w:rsid w:val="005E6D32"/>
    <w:rsid w:val="005F0DC8"/>
    <w:rsid w:val="00600FA4"/>
    <w:rsid w:val="00605720"/>
    <w:rsid w:val="00611BDC"/>
    <w:rsid w:val="006177DC"/>
    <w:rsid w:val="00623BD2"/>
    <w:rsid w:val="00626265"/>
    <w:rsid w:val="006269F8"/>
    <w:rsid w:val="00642EBC"/>
    <w:rsid w:val="00643B2E"/>
    <w:rsid w:val="00646AD1"/>
    <w:rsid w:val="00670053"/>
    <w:rsid w:val="00673E71"/>
    <w:rsid w:val="006823DB"/>
    <w:rsid w:val="00692309"/>
    <w:rsid w:val="00694DDB"/>
    <w:rsid w:val="006A1E31"/>
    <w:rsid w:val="006A390F"/>
    <w:rsid w:val="006A580A"/>
    <w:rsid w:val="006B34CD"/>
    <w:rsid w:val="006C528F"/>
    <w:rsid w:val="006C691E"/>
    <w:rsid w:val="006C6CA7"/>
    <w:rsid w:val="006D59C3"/>
    <w:rsid w:val="006E4386"/>
    <w:rsid w:val="006E5310"/>
    <w:rsid w:val="006F0C81"/>
    <w:rsid w:val="006F5EED"/>
    <w:rsid w:val="006F7780"/>
    <w:rsid w:val="007116D0"/>
    <w:rsid w:val="00725CE5"/>
    <w:rsid w:val="0073019F"/>
    <w:rsid w:val="00734046"/>
    <w:rsid w:val="00735560"/>
    <w:rsid w:val="00736027"/>
    <w:rsid w:val="007370E0"/>
    <w:rsid w:val="007466B8"/>
    <w:rsid w:val="00751448"/>
    <w:rsid w:val="00751A09"/>
    <w:rsid w:val="0075383C"/>
    <w:rsid w:val="00754147"/>
    <w:rsid w:val="00756C08"/>
    <w:rsid w:val="00756D75"/>
    <w:rsid w:val="00760A58"/>
    <w:rsid w:val="00763073"/>
    <w:rsid w:val="0076560D"/>
    <w:rsid w:val="00767A99"/>
    <w:rsid w:val="00784D44"/>
    <w:rsid w:val="00793C8C"/>
    <w:rsid w:val="00793E7F"/>
    <w:rsid w:val="007940D2"/>
    <w:rsid w:val="00794B04"/>
    <w:rsid w:val="0079610B"/>
    <w:rsid w:val="00797739"/>
    <w:rsid w:val="007A5E60"/>
    <w:rsid w:val="007B0382"/>
    <w:rsid w:val="007B14F6"/>
    <w:rsid w:val="007B7CAA"/>
    <w:rsid w:val="007C28FF"/>
    <w:rsid w:val="007C5A7E"/>
    <w:rsid w:val="007C5AC5"/>
    <w:rsid w:val="007D26E7"/>
    <w:rsid w:val="007D58D1"/>
    <w:rsid w:val="007D68D7"/>
    <w:rsid w:val="007E17CF"/>
    <w:rsid w:val="007F026B"/>
    <w:rsid w:val="007F5A15"/>
    <w:rsid w:val="0080157D"/>
    <w:rsid w:val="00813788"/>
    <w:rsid w:val="0082227E"/>
    <w:rsid w:val="00822B10"/>
    <w:rsid w:val="00823F06"/>
    <w:rsid w:val="00832862"/>
    <w:rsid w:val="00832F6E"/>
    <w:rsid w:val="00832F80"/>
    <w:rsid w:val="00833452"/>
    <w:rsid w:val="00834CE8"/>
    <w:rsid w:val="0083551E"/>
    <w:rsid w:val="00845A89"/>
    <w:rsid w:val="00845F36"/>
    <w:rsid w:val="008527A7"/>
    <w:rsid w:val="00853603"/>
    <w:rsid w:val="008550E7"/>
    <w:rsid w:val="00856D92"/>
    <w:rsid w:val="00866267"/>
    <w:rsid w:val="008666C1"/>
    <w:rsid w:val="00866773"/>
    <w:rsid w:val="008706BC"/>
    <w:rsid w:val="00872CCF"/>
    <w:rsid w:val="00890A44"/>
    <w:rsid w:val="00891DDA"/>
    <w:rsid w:val="00894724"/>
    <w:rsid w:val="008A09D1"/>
    <w:rsid w:val="008A37FE"/>
    <w:rsid w:val="008B5F0B"/>
    <w:rsid w:val="008B78AD"/>
    <w:rsid w:val="008C37F3"/>
    <w:rsid w:val="008C5BE5"/>
    <w:rsid w:val="008C7FED"/>
    <w:rsid w:val="0090595F"/>
    <w:rsid w:val="0090670A"/>
    <w:rsid w:val="00906781"/>
    <w:rsid w:val="009211BA"/>
    <w:rsid w:val="00922838"/>
    <w:rsid w:val="009339E2"/>
    <w:rsid w:val="00942CCA"/>
    <w:rsid w:val="00945930"/>
    <w:rsid w:val="00947118"/>
    <w:rsid w:val="009529F5"/>
    <w:rsid w:val="009572C9"/>
    <w:rsid w:val="009607CA"/>
    <w:rsid w:val="0096088C"/>
    <w:rsid w:val="009728CB"/>
    <w:rsid w:val="00975273"/>
    <w:rsid w:val="009764E0"/>
    <w:rsid w:val="0098148B"/>
    <w:rsid w:val="00983F16"/>
    <w:rsid w:val="00984A71"/>
    <w:rsid w:val="00985B39"/>
    <w:rsid w:val="009866EC"/>
    <w:rsid w:val="0099382A"/>
    <w:rsid w:val="00994C12"/>
    <w:rsid w:val="009A3A67"/>
    <w:rsid w:val="009D1070"/>
    <w:rsid w:val="009D2804"/>
    <w:rsid w:val="009D3350"/>
    <w:rsid w:val="009D66DD"/>
    <w:rsid w:val="009F0766"/>
    <w:rsid w:val="009F19B6"/>
    <w:rsid w:val="009F4B40"/>
    <w:rsid w:val="00A03853"/>
    <w:rsid w:val="00A11F99"/>
    <w:rsid w:val="00A156D9"/>
    <w:rsid w:val="00A243BC"/>
    <w:rsid w:val="00A27943"/>
    <w:rsid w:val="00A31D43"/>
    <w:rsid w:val="00A36061"/>
    <w:rsid w:val="00A402C6"/>
    <w:rsid w:val="00A5008B"/>
    <w:rsid w:val="00A65CD4"/>
    <w:rsid w:val="00A70F4C"/>
    <w:rsid w:val="00A736E3"/>
    <w:rsid w:val="00AA6478"/>
    <w:rsid w:val="00AA6A67"/>
    <w:rsid w:val="00AB2670"/>
    <w:rsid w:val="00AB2B0F"/>
    <w:rsid w:val="00AC096E"/>
    <w:rsid w:val="00AC5736"/>
    <w:rsid w:val="00AC69B7"/>
    <w:rsid w:val="00AC7691"/>
    <w:rsid w:val="00AD689E"/>
    <w:rsid w:val="00AD7D6F"/>
    <w:rsid w:val="00AE5A16"/>
    <w:rsid w:val="00AF0A71"/>
    <w:rsid w:val="00AF2833"/>
    <w:rsid w:val="00AF2A0E"/>
    <w:rsid w:val="00B03355"/>
    <w:rsid w:val="00B0469B"/>
    <w:rsid w:val="00B127DF"/>
    <w:rsid w:val="00B14566"/>
    <w:rsid w:val="00B237EB"/>
    <w:rsid w:val="00B24D94"/>
    <w:rsid w:val="00B268E1"/>
    <w:rsid w:val="00B269D7"/>
    <w:rsid w:val="00B303C2"/>
    <w:rsid w:val="00B362C3"/>
    <w:rsid w:val="00B43F7F"/>
    <w:rsid w:val="00B63A00"/>
    <w:rsid w:val="00B651CC"/>
    <w:rsid w:val="00B73F27"/>
    <w:rsid w:val="00B74C14"/>
    <w:rsid w:val="00B92BAD"/>
    <w:rsid w:val="00B9520A"/>
    <w:rsid w:val="00B979F5"/>
    <w:rsid w:val="00BA07A7"/>
    <w:rsid w:val="00BA3056"/>
    <w:rsid w:val="00BB47F3"/>
    <w:rsid w:val="00BC0513"/>
    <w:rsid w:val="00BD0ED0"/>
    <w:rsid w:val="00BE7259"/>
    <w:rsid w:val="00C10571"/>
    <w:rsid w:val="00C14B11"/>
    <w:rsid w:val="00C24E7B"/>
    <w:rsid w:val="00C36E42"/>
    <w:rsid w:val="00C51DAF"/>
    <w:rsid w:val="00C52425"/>
    <w:rsid w:val="00C555AC"/>
    <w:rsid w:val="00C56CDE"/>
    <w:rsid w:val="00C5764E"/>
    <w:rsid w:val="00C64274"/>
    <w:rsid w:val="00C65487"/>
    <w:rsid w:val="00C65987"/>
    <w:rsid w:val="00C74F01"/>
    <w:rsid w:val="00C83D98"/>
    <w:rsid w:val="00C87EB0"/>
    <w:rsid w:val="00C9140D"/>
    <w:rsid w:val="00C92139"/>
    <w:rsid w:val="00C94906"/>
    <w:rsid w:val="00CA0830"/>
    <w:rsid w:val="00CA08E7"/>
    <w:rsid w:val="00CA0BB3"/>
    <w:rsid w:val="00CB7617"/>
    <w:rsid w:val="00CC2CF9"/>
    <w:rsid w:val="00CC55CE"/>
    <w:rsid w:val="00CD3458"/>
    <w:rsid w:val="00CE7048"/>
    <w:rsid w:val="00CF0ED4"/>
    <w:rsid w:val="00CF10A0"/>
    <w:rsid w:val="00D043A5"/>
    <w:rsid w:val="00D06294"/>
    <w:rsid w:val="00D16C9A"/>
    <w:rsid w:val="00D170C8"/>
    <w:rsid w:val="00D20CA5"/>
    <w:rsid w:val="00D22F7F"/>
    <w:rsid w:val="00D23039"/>
    <w:rsid w:val="00D27104"/>
    <w:rsid w:val="00D349E7"/>
    <w:rsid w:val="00D35DA8"/>
    <w:rsid w:val="00D41A51"/>
    <w:rsid w:val="00D4719D"/>
    <w:rsid w:val="00D47863"/>
    <w:rsid w:val="00D51301"/>
    <w:rsid w:val="00D619CB"/>
    <w:rsid w:val="00D66E92"/>
    <w:rsid w:val="00D75966"/>
    <w:rsid w:val="00D76DA8"/>
    <w:rsid w:val="00D76EB9"/>
    <w:rsid w:val="00D97840"/>
    <w:rsid w:val="00DC0F80"/>
    <w:rsid w:val="00DC1C67"/>
    <w:rsid w:val="00DD7D0E"/>
    <w:rsid w:val="00DF02D4"/>
    <w:rsid w:val="00DF2AD8"/>
    <w:rsid w:val="00DF7FCB"/>
    <w:rsid w:val="00E066BD"/>
    <w:rsid w:val="00E1736F"/>
    <w:rsid w:val="00E17FF5"/>
    <w:rsid w:val="00E26009"/>
    <w:rsid w:val="00E3162A"/>
    <w:rsid w:val="00E37C85"/>
    <w:rsid w:val="00E407C9"/>
    <w:rsid w:val="00E46BD6"/>
    <w:rsid w:val="00E5280E"/>
    <w:rsid w:val="00E5401A"/>
    <w:rsid w:val="00E55EDB"/>
    <w:rsid w:val="00E56172"/>
    <w:rsid w:val="00E60002"/>
    <w:rsid w:val="00E63C4E"/>
    <w:rsid w:val="00E72902"/>
    <w:rsid w:val="00E730DF"/>
    <w:rsid w:val="00E74D76"/>
    <w:rsid w:val="00E754A7"/>
    <w:rsid w:val="00E81909"/>
    <w:rsid w:val="00E83D4E"/>
    <w:rsid w:val="00E84A18"/>
    <w:rsid w:val="00E84C25"/>
    <w:rsid w:val="00E84FF9"/>
    <w:rsid w:val="00E93BC2"/>
    <w:rsid w:val="00EA7020"/>
    <w:rsid w:val="00EB2FD4"/>
    <w:rsid w:val="00EB7300"/>
    <w:rsid w:val="00EC5664"/>
    <w:rsid w:val="00EE0CE1"/>
    <w:rsid w:val="00EE1078"/>
    <w:rsid w:val="00EF79B0"/>
    <w:rsid w:val="00F024DB"/>
    <w:rsid w:val="00F143B1"/>
    <w:rsid w:val="00F1451E"/>
    <w:rsid w:val="00F23CF0"/>
    <w:rsid w:val="00F3777D"/>
    <w:rsid w:val="00F45942"/>
    <w:rsid w:val="00F45AE1"/>
    <w:rsid w:val="00F5192E"/>
    <w:rsid w:val="00F53F01"/>
    <w:rsid w:val="00F57D63"/>
    <w:rsid w:val="00F640B5"/>
    <w:rsid w:val="00F67176"/>
    <w:rsid w:val="00F711B9"/>
    <w:rsid w:val="00F765BA"/>
    <w:rsid w:val="00F81F40"/>
    <w:rsid w:val="00F90DFB"/>
    <w:rsid w:val="00F91089"/>
    <w:rsid w:val="00F94DE6"/>
    <w:rsid w:val="00FA33E4"/>
    <w:rsid w:val="00FB0D99"/>
    <w:rsid w:val="00FB237A"/>
    <w:rsid w:val="00FB27A0"/>
    <w:rsid w:val="00FB523A"/>
    <w:rsid w:val="00FB5471"/>
    <w:rsid w:val="00FB606D"/>
    <w:rsid w:val="00FC1058"/>
    <w:rsid w:val="00FC18D8"/>
    <w:rsid w:val="00FC7BB3"/>
    <w:rsid w:val="00FC7D4F"/>
    <w:rsid w:val="00FD0CCE"/>
    <w:rsid w:val="00FE48C9"/>
    <w:rsid w:val="00FE69B2"/>
    <w:rsid w:val="00FF48B9"/>
    <w:rsid w:val="00FF49EB"/>
    <w:rsid w:val="01680748"/>
    <w:rsid w:val="01A3073B"/>
    <w:rsid w:val="01C25CF5"/>
    <w:rsid w:val="01FB06A5"/>
    <w:rsid w:val="02883661"/>
    <w:rsid w:val="033A18A1"/>
    <w:rsid w:val="04A9605B"/>
    <w:rsid w:val="06264A4A"/>
    <w:rsid w:val="063B5B78"/>
    <w:rsid w:val="078A03D3"/>
    <w:rsid w:val="07CA76CE"/>
    <w:rsid w:val="07FC0BA5"/>
    <w:rsid w:val="085B0DBB"/>
    <w:rsid w:val="08E33793"/>
    <w:rsid w:val="093F2ABC"/>
    <w:rsid w:val="09434D9D"/>
    <w:rsid w:val="098F1CC7"/>
    <w:rsid w:val="09B554AF"/>
    <w:rsid w:val="09F92B1D"/>
    <w:rsid w:val="0A694752"/>
    <w:rsid w:val="0AD10D6A"/>
    <w:rsid w:val="0B5E36D3"/>
    <w:rsid w:val="0B772A1C"/>
    <w:rsid w:val="0BB30987"/>
    <w:rsid w:val="0C76193E"/>
    <w:rsid w:val="0DAE2941"/>
    <w:rsid w:val="0DCA1AB9"/>
    <w:rsid w:val="0DF07EE3"/>
    <w:rsid w:val="0E643518"/>
    <w:rsid w:val="0F102792"/>
    <w:rsid w:val="0F8B118C"/>
    <w:rsid w:val="10344DD0"/>
    <w:rsid w:val="10633DCE"/>
    <w:rsid w:val="107B4D5D"/>
    <w:rsid w:val="10DD4EBB"/>
    <w:rsid w:val="11DE6FD7"/>
    <w:rsid w:val="12AE0195"/>
    <w:rsid w:val="130A103D"/>
    <w:rsid w:val="13985B17"/>
    <w:rsid w:val="143D67CD"/>
    <w:rsid w:val="14636DF1"/>
    <w:rsid w:val="14CB5B87"/>
    <w:rsid w:val="152F6116"/>
    <w:rsid w:val="155C3CBE"/>
    <w:rsid w:val="15F93F79"/>
    <w:rsid w:val="162B62D2"/>
    <w:rsid w:val="16693DC2"/>
    <w:rsid w:val="16AD7FB9"/>
    <w:rsid w:val="17EDC74B"/>
    <w:rsid w:val="183F1493"/>
    <w:rsid w:val="18FC4FBA"/>
    <w:rsid w:val="190768CF"/>
    <w:rsid w:val="19AF3334"/>
    <w:rsid w:val="19F5075E"/>
    <w:rsid w:val="1AAB4A91"/>
    <w:rsid w:val="1B0E4ACA"/>
    <w:rsid w:val="1B8B48E8"/>
    <w:rsid w:val="1C3E3265"/>
    <w:rsid w:val="1C8659B7"/>
    <w:rsid w:val="1C9808FD"/>
    <w:rsid w:val="1D2422E4"/>
    <w:rsid w:val="1D934311"/>
    <w:rsid w:val="1DB6582E"/>
    <w:rsid w:val="1EC34C0E"/>
    <w:rsid w:val="1F096FB1"/>
    <w:rsid w:val="1F1E394A"/>
    <w:rsid w:val="1F533349"/>
    <w:rsid w:val="1F71BC3C"/>
    <w:rsid w:val="20BD1F44"/>
    <w:rsid w:val="214135A7"/>
    <w:rsid w:val="21BF009D"/>
    <w:rsid w:val="22873147"/>
    <w:rsid w:val="229233C9"/>
    <w:rsid w:val="22B90D41"/>
    <w:rsid w:val="23737E65"/>
    <w:rsid w:val="23DA218B"/>
    <w:rsid w:val="252F365E"/>
    <w:rsid w:val="25FE291E"/>
    <w:rsid w:val="263611B5"/>
    <w:rsid w:val="27143262"/>
    <w:rsid w:val="28096DAB"/>
    <w:rsid w:val="288F7729"/>
    <w:rsid w:val="28ED3CBD"/>
    <w:rsid w:val="29F3375E"/>
    <w:rsid w:val="29F90ABD"/>
    <w:rsid w:val="2A0D1A99"/>
    <w:rsid w:val="2A213392"/>
    <w:rsid w:val="2A5700B2"/>
    <w:rsid w:val="2AC96FF6"/>
    <w:rsid w:val="2B5E7BEB"/>
    <w:rsid w:val="2C9F3729"/>
    <w:rsid w:val="2CDA604D"/>
    <w:rsid w:val="2D441354"/>
    <w:rsid w:val="2D5304A2"/>
    <w:rsid w:val="2D68079A"/>
    <w:rsid w:val="2D6E670B"/>
    <w:rsid w:val="2DF700D9"/>
    <w:rsid w:val="2E4550FC"/>
    <w:rsid w:val="2E514683"/>
    <w:rsid w:val="2EBACCEC"/>
    <w:rsid w:val="2EBD433B"/>
    <w:rsid w:val="2F276578"/>
    <w:rsid w:val="2FF62EC1"/>
    <w:rsid w:val="2FFC7DCE"/>
    <w:rsid w:val="308A3535"/>
    <w:rsid w:val="32584AA6"/>
    <w:rsid w:val="32BF4B40"/>
    <w:rsid w:val="32C1444F"/>
    <w:rsid w:val="33072028"/>
    <w:rsid w:val="34671B17"/>
    <w:rsid w:val="368F078E"/>
    <w:rsid w:val="374F01EB"/>
    <w:rsid w:val="376213FE"/>
    <w:rsid w:val="376D011C"/>
    <w:rsid w:val="38891DB8"/>
    <w:rsid w:val="38A16843"/>
    <w:rsid w:val="3977229A"/>
    <w:rsid w:val="398E6CC1"/>
    <w:rsid w:val="398F5D75"/>
    <w:rsid w:val="399125CB"/>
    <w:rsid w:val="39A91FD3"/>
    <w:rsid w:val="39BC30CE"/>
    <w:rsid w:val="3A4E3D7D"/>
    <w:rsid w:val="3ABA7D5B"/>
    <w:rsid w:val="3C4F4F38"/>
    <w:rsid w:val="3C9F6A2C"/>
    <w:rsid w:val="3CA5540E"/>
    <w:rsid w:val="3CE416AE"/>
    <w:rsid w:val="3D4E0105"/>
    <w:rsid w:val="3D6764E5"/>
    <w:rsid w:val="3E82529D"/>
    <w:rsid w:val="3EAD0C0C"/>
    <w:rsid w:val="3F7FF403"/>
    <w:rsid w:val="413B48C7"/>
    <w:rsid w:val="41793F44"/>
    <w:rsid w:val="41F15E70"/>
    <w:rsid w:val="42BF5395"/>
    <w:rsid w:val="436C4015"/>
    <w:rsid w:val="43772DF4"/>
    <w:rsid w:val="43B5750E"/>
    <w:rsid w:val="43C35D22"/>
    <w:rsid w:val="43D025F5"/>
    <w:rsid w:val="441A20EA"/>
    <w:rsid w:val="44281703"/>
    <w:rsid w:val="443469F5"/>
    <w:rsid w:val="44FD328B"/>
    <w:rsid w:val="45923083"/>
    <w:rsid w:val="462F56C6"/>
    <w:rsid w:val="472E36B4"/>
    <w:rsid w:val="47F15329"/>
    <w:rsid w:val="480238A9"/>
    <w:rsid w:val="486D5310"/>
    <w:rsid w:val="48B76D8F"/>
    <w:rsid w:val="48CE0682"/>
    <w:rsid w:val="497E0C78"/>
    <w:rsid w:val="49DD2383"/>
    <w:rsid w:val="49FB6569"/>
    <w:rsid w:val="4C1F3EFD"/>
    <w:rsid w:val="4CA639F1"/>
    <w:rsid w:val="4CD95B36"/>
    <w:rsid w:val="4CE34B9C"/>
    <w:rsid w:val="4D38031C"/>
    <w:rsid w:val="4EAD471B"/>
    <w:rsid w:val="50B504D0"/>
    <w:rsid w:val="50CC7BAB"/>
    <w:rsid w:val="50EF43CF"/>
    <w:rsid w:val="51237038"/>
    <w:rsid w:val="51D20399"/>
    <w:rsid w:val="51E1209B"/>
    <w:rsid w:val="535E0F14"/>
    <w:rsid w:val="53D31D87"/>
    <w:rsid w:val="53E51C6C"/>
    <w:rsid w:val="55091FE4"/>
    <w:rsid w:val="55701FD8"/>
    <w:rsid w:val="557E53F1"/>
    <w:rsid w:val="559E519B"/>
    <w:rsid w:val="56226E9B"/>
    <w:rsid w:val="56A662B2"/>
    <w:rsid w:val="56D714C5"/>
    <w:rsid w:val="56E44260"/>
    <w:rsid w:val="57C74444"/>
    <w:rsid w:val="57E61A10"/>
    <w:rsid w:val="57FF4FBB"/>
    <w:rsid w:val="58D36AC3"/>
    <w:rsid w:val="58DE7204"/>
    <w:rsid w:val="594E097A"/>
    <w:rsid w:val="598310D4"/>
    <w:rsid w:val="59B44360"/>
    <w:rsid w:val="59C2090B"/>
    <w:rsid w:val="59F65C7E"/>
    <w:rsid w:val="5ACC4005"/>
    <w:rsid w:val="5B490013"/>
    <w:rsid w:val="5B64133E"/>
    <w:rsid w:val="5B9A4CA7"/>
    <w:rsid w:val="5BE661BF"/>
    <w:rsid w:val="5CB33954"/>
    <w:rsid w:val="5D7A3760"/>
    <w:rsid w:val="5F16072D"/>
    <w:rsid w:val="5F2D2C93"/>
    <w:rsid w:val="5FBF5A6B"/>
    <w:rsid w:val="5FC23025"/>
    <w:rsid w:val="6098413C"/>
    <w:rsid w:val="60E63616"/>
    <w:rsid w:val="60FB2C8B"/>
    <w:rsid w:val="61907CF7"/>
    <w:rsid w:val="61C548D6"/>
    <w:rsid w:val="626867CF"/>
    <w:rsid w:val="63123A52"/>
    <w:rsid w:val="631877B6"/>
    <w:rsid w:val="63441F36"/>
    <w:rsid w:val="63AF55F1"/>
    <w:rsid w:val="641941AB"/>
    <w:rsid w:val="649E0E16"/>
    <w:rsid w:val="64B24D21"/>
    <w:rsid w:val="64C701D0"/>
    <w:rsid w:val="65501489"/>
    <w:rsid w:val="65683634"/>
    <w:rsid w:val="657E0B48"/>
    <w:rsid w:val="66264D37"/>
    <w:rsid w:val="662B15AE"/>
    <w:rsid w:val="67897406"/>
    <w:rsid w:val="67FA3CBD"/>
    <w:rsid w:val="67FF5FF1"/>
    <w:rsid w:val="686F3A8E"/>
    <w:rsid w:val="688D6DBF"/>
    <w:rsid w:val="691B00F9"/>
    <w:rsid w:val="69BE70C4"/>
    <w:rsid w:val="69F831FA"/>
    <w:rsid w:val="6A2A1384"/>
    <w:rsid w:val="6AFEE48C"/>
    <w:rsid w:val="6B5E0AAF"/>
    <w:rsid w:val="6BD31768"/>
    <w:rsid w:val="6BFA733C"/>
    <w:rsid w:val="6D103417"/>
    <w:rsid w:val="6D342528"/>
    <w:rsid w:val="6D73A7A8"/>
    <w:rsid w:val="6D767E1F"/>
    <w:rsid w:val="6DED540B"/>
    <w:rsid w:val="6EC205F2"/>
    <w:rsid w:val="717383BB"/>
    <w:rsid w:val="71EA46D2"/>
    <w:rsid w:val="72556080"/>
    <w:rsid w:val="72FB5971"/>
    <w:rsid w:val="731F3CDF"/>
    <w:rsid w:val="7367CFA8"/>
    <w:rsid w:val="7368470D"/>
    <w:rsid w:val="73762533"/>
    <w:rsid w:val="73F6855F"/>
    <w:rsid w:val="743E50DD"/>
    <w:rsid w:val="74507E06"/>
    <w:rsid w:val="74FB6D7E"/>
    <w:rsid w:val="74FC1995"/>
    <w:rsid w:val="74FD2CB8"/>
    <w:rsid w:val="75ED062E"/>
    <w:rsid w:val="75FF44DB"/>
    <w:rsid w:val="76413F68"/>
    <w:rsid w:val="765C6DB5"/>
    <w:rsid w:val="76B529FB"/>
    <w:rsid w:val="77210E87"/>
    <w:rsid w:val="77B1FF77"/>
    <w:rsid w:val="77FD9F4D"/>
    <w:rsid w:val="785A2E96"/>
    <w:rsid w:val="797F503F"/>
    <w:rsid w:val="799A7C87"/>
    <w:rsid w:val="7A2A0ED3"/>
    <w:rsid w:val="7A6B49A6"/>
    <w:rsid w:val="7AC35E02"/>
    <w:rsid w:val="7AD16771"/>
    <w:rsid w:val="7B116B6D"/>
    <w:rsid w:val="7B5615BC"/>
    <w:rsid w:val="7B7FB31D"/>
    <w:rsid w:val="7B973D59"/>
    <w:rsid w:val="7BAE59D5"/>
    <w:rsid w:val="7BEC7AA8"/>
    <w:rsid w:val="7BFD26D4"/>
    <w:rsid w:val="7BFE8EC0"/>
    <w:rsid w:val="7DA61B5B"/>
    <w:rsid w:val="7DF77DD2"/>
    <w:rsid w:val="7DFFA53F"/>
    <w:rsid w:val="7E6B3383"/>
    <w:rsid w:val="7F2FE11E"/>
    <w:rsid w:val="7F5F1F28"/>
    <w:rsid w:val="7F6E0A32"/>
    <w:rsid w:val="7F7BA24F"/>
    <w:rsid w:val="7FAB99E8"/>
    <w:rsid w:val="7FB746D5"/>
    <w:rsid w:val="7FDE543C"/>
    <w:rsid w:val="9FDFE35B"/>
    <w:rsid w:val="AFFAF8E5"/>
    <w:rsid w:val="B8F7F9A2"/>
    <w:rsid w:val="BFE91347"/>
    <w:rsid w:val="CBDF8A08"/>
    <w:rsid w:val="DB7451F2"/>
    <w:rsid w:val="DC9FCBEB"/>
    <w:rsid w:val="E9D78A37"/>
    <w:rsid w:val="EBCD529C"/>
    <w:rsid w:val="EBDFC38F"/>
    <w:rsid w:val="EBE7CAE1"/>
    <w:rsid w:val="EE7BAC7D"/>
    <w:rsid w:val="F2EFD742"/>
    <w:rsid w:val="F3DECE3F"/>
    <w:rsid w:val="F77B9D5A"/>
    <w:rsid w:val="F78CA074"/>
    <w:rsid w:val="F7DED60E"/>
    <w:rsid w:val="F86E6AB1"/>
    <w:rsid w:val="F9EAE13C"/>
    <w:rsid w:val="FAFD401C"/>
    <w:rsid w:val="FB6B9550"/>
    <w:rsid w:val="FB735437"/>
    <w:rsid w:val="FBFF0F16"/>
    <w:rsid w:val="FD7E2DDA"/>
    <w:rsid w:val="FDEF3302"/>
    <w:rsid w:val="FDF7D648"/>
    <w:rsid w:val="FE4DE1B6"/>
    <w:rsid w:val="FE5391AB"/>
    <w:rsid w:val="FFADF011"/>
    <w:rsid w:val="FFE15F73"/>
    <w:rsid w:val="FFF26CD7"/>
    <w:rsid w:val="FFFB041A"/>
    <w:rsid w:val="FFFF6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3"/>
    <w:qFormat/>
    <w:uiPriority w:val="9"/>
    <w:pPr>
      <w:keepNext/>
      <w:keepLines/>
      <w:widowControl/>
      <w:spacing w:before="340" w:after="330" w:line="578" w:lineRule="auto"/>
      <w:jc w:val="left"/>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29"/>
    <w:semiHidden/>
    <w:unhideWhenUsed/>
    <w:qFormat/>
    <w:uiPriority w:val="99"/>
    <w:pPr>
      <w:widowControl/>
      <w:jc w:val="left"/>
    </w:pPr>
  </w:style>
  <w:style w:type="paragraph" w:styleId="5">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6">
    <w:name w:val="Plain Text"/>
    <w:basedOn w:val="1"/>
    <w:link w:val="30"/>
    <w:qFormat/>
    <w:uiPriority w:val="0"/>
    <w:pPr>
      <w:spacing w:line="360" w:lineRule="auto"/>
      <w:ind w:firstLine="480" w:firstLineChars="200"/>
    </w:pPr>
    <w:rPr>
      <w:rFonts w:ascii="仿宋_GB2312"/>
      <w:sz w:val="24"/>
    </w:rPr>
  </w:style>
  <w:style w:type="paragraph" w:styleId="7">
    <w:name w:val="Body Text Indent 2"/>
    <w:basedOn w:val="1"/>
    <w:link w:val="33"/>
    <w:qFormat/>
    <w:uiPriority w:val="0"/>
    <w:pPr>
      <w:widowControl/>
      <w:ind w:firstLine="562" w:firstLineChars="200"/>
      <w:jc w:val="left"/>
    </w:pPr>
    <w:rPr>
      <w:b/>
      <w:bCs/>
      <w:sz w:val="28"/>
      <w:szCs w:val="24"/>
    </w:rPr>
  </w:style>
  <w:style w:type="paragraph" w:styleId="8">
    <w:name w:val="Balloon Text"/>
    <w:basedOn w:val="1"/>
    <w:link w:val="28"/>
    <w:semiHidden/>
    <w:unhideWhenUsed/>
    <w:qFormat/>
    <w:uiPriority w:val="99"/>
    <w:rPr>
      <w:sz w:val="18"/>
      <w:szCs w:val="18"/>
    </w:rPr>
  </w:style>
  <w:style w:type="paragraph" w:styleId="9">
    <w:name w:val="footer"/>
    <w:basedOn w:val="1"/>
    <w:link w:val="26"/>
    <w:unhideWhenUsed/>
    <w:qFormat/>
    <w:uiPriority w:val="99"/>
    <w:pPr>
      <w:tabs>
        <w:tab w:val="center" w:pos="4153"/>
        <w:tab w:val="right" w:pos="8306"/>
      </w:tabs>
      <w:snapToGrid w:val="0"/>
      <w:jc w:val="left"/>
    </w:pPr>
    <w:rPr>
      <w:sz w:val="18"/>
      <w:szCs w:val="18"/>
    </w:rPr>
  </w:style>
  <w:style w:type="paragraph" w:styleId="10">
    <w:name w:val="header"/>
    <w:basedOn w:val="1"/>
    <w:link w:val="25"/>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widowControl/>
      <w:tabs>
        <w:tab w:val="right" w:leader="dot" w:pos="8720"/>
      </w:tabs>
      <w:spacing w:after="100" w:afterAutospacing="1" w:line="360" w:lineRule="auto"/>
      <w:jc w:val="left"/>
    </w:pPr>
    <w:rPr>
      <w:rFonts w:ascii="仿宋_GB2312" w:hAnsi="宋体" w:eastAsia="仿宋_GB2312"/>
      <w:b/>
      <w:bCs/>
      <w:kern w:val="0"/>
      <w:sz w:val="32"/>
      <w:szCs w:val="32"/>
    </w:rPr>
  </w:style>
  <w:style w:type="paragraph" w:styleId="12">
    <w:name w:val="toc 2"/>
    <w:basedOn w:val="1"/>
    <w:next w:val="1"/>
    <w:unhideWhenUsed/>
    <w:qFormat/>
    <w:uiPriority w:val="39"/>
    <w:pPr>
      <w:ind w:left="420" w:leftChars="200"/>
    </w:pPr>
  </w:style>
  <w:style w:type="paragraph" w:styleId="13">
    <w:name w:val="Normal (Web)"/>
    <w:basedOn w:val="1"/>
    <w:semiHidden/>
    <w:unhideWhenUsed/>
    <w:qFormat/>
    <w:uiPriority w:val="0"/>
    <w:pPr>
      <w:widowControl/>
      <w:spacing w:before="100" w:beforeAutospacing="1" w:after="100" w:afterAutospacing="1"/>
      <w:jc w:val="left"/>
    </w:pPr>
    <w:rPr>
      <w:rFonts w:ascii="宋体" w:hAnsi="宋体" w:cs="宋体"/>
      <w:kern w:val="0"/>
      <w:sz w:val="24"/>
      <w:szCs w:val="24"/>
    </w:rPr>
  </w:style>
  <w:style w:type="paragraph" w:styleId="14">
    <w:name w:val="Title"/>
    <w:basedOn w:val="1"/>
    <w:next w:val="1"/>
    <w:link w:val="34"/>
    <w:qFormat/>
    <w:uiPriority w:val="0"/>
    <w:pPr>
      <w:widowControl/>
      <w:spacing w:before="240" w:after="60"/>
      <w:jc w:val="center"/>
      <w:outlineLvl w:val="0"/>
    </w:pPr>
    <w:rPr>
      <w:rFonts w:ascii="Cambria" w:hAnsi="Cambria" w:eastAsia="黑体"/>
      <w:b/>
      <w:bCs/>
      <w:sz w:val="52"/>
      <w:szCs w:val="32"/>
    </w:rPr>
  </w:style>
  <w:style w:type="paragraph" w:styleId="15">
    <w:name w:val="annotation subject"/>
    <w:basedOn w:val="4"/>
    <w:next w:val="4"/>
    <w:link w:val="35"/>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bCs/>
    </w:rPr>
  </w:style>
  <w:style w:type="character" w:styleId="20">
    <w:name w:val="page number"/>
    <w:basedOn w:val="18"/>
    <w:qFormat/>
    <w:uiPriority w:val="0"/>
  </w:style>
  <w:style w:type="character" w:styleId="21">
    <w:name w:val="Hyperlink"/>
    <w:qFormat/>
    <w:uiPriority w:val="99"/>
    <w:rPr>
      <w:color w:val="0000FF"/>
      <w:u w:val="single"/>
    </w:rPr>
  </w:style>
  <w:style w:type="character" w:styleId="22">
    <w:name w:val="annotation reference"/>
    <w:basedOn w:val="18"/>
    <w:semiHidden/>
    <w:unhideWhenUsed/>
    <w:qFormat/>
    <w:uiPriority w:val="99"/>
    <w:rPr>
      <w:sz w:val="21"/>
      <w:szCs w:val="21"/>
    </w:rPr>
  </w:style>
  <w:style w:type="character" w:customStyle="1" w:styleId="23">
    <w:name w:val="标题 1 Char"/>
    <w:basedOn w:val="18"/>
    <w:link w:val="2"/>
    <w:qFormat/>
    <w:uiPriority w:val="9"/>
    <w:rPr>
      <w:rFonts w:ascii="Times New Roman" w:hAnsi="Times New Roman" w:eastAsia="宋体" w:cs="Times New Roman"/>
      <w:b/>
      <w:bCs/>
      <w:kern w:val="44"/>
      <w:sz w:val="44"/>
      <w:szCs w:val="44"/>
    </w:rPr>
  </w:style>
  <w:style w:type="character" w:customStyle="1" w:styleId="24">
    <w:name w:val="标题 2 Char"/>
    <w:basedOn w:val="18"/>
    <w:link w:val="3"/>
    <w:qFormat/>
    <w:uiPriority w:val="9"/>
    <w:rPr>
      <w:rFonts w:asciiTheme="majorHAnsi" w:hAnsiTheme="majorHAnsi" w:eastAsiaTheme="majorEastAsia" w:cstheme="majorBidi"/>
      <w:b/>
      <w:bCs/>
      <w:sz w:val="32"/>
      <w:szCs w:val="32"/>
    </w:rPr>
  </w:style>
  <w:style w:type="character" w:customStyle="1" w:styleId="25">
    <w:name w:val="页眉 Char"/>
    <w:basedOn w:val="18"/>
    <w:link w:val="10"/>
    <w:qFormat/>
    <w:uiPriority w:val="0"/>
    <w:rPr>
      <w:sz w:val="18"/>
      <w:szCs w:val="18"/>
    </w:rPr>
  </w:style>
  <w:style w:type="character" w:customStyle="1" w:styleId="26">
    <w:name w:val="页脚 Char"/>
    <w:basedOn w:val="18"/>
    <w:link w:val="9"/>
    <w:qFormat/>
    <w:uiPriority w:val="99"/>
    <w:rPr>
      <w:sz w:val="18"/>
      <w:szCs w:val="18"/>
    </w:rPr>
  </w:style>
  <w:style w:type="paragraph" w:customStyle="1" w:styleId="27">
    <w:name w:val="样式1"/>
    <w:basedOn w:val="1"/>
    <w:qFormat/>
    <w:uiPriority w:val="0"/>
    <w:pPr>
      <w:spacing w:line="600" w:lineRule="exact"/>
      <w:ind w:firstLine="200" w:firstLineChars="200"/>
    </w:pPr>
    <w:rPr>
      <w:rFonts w:eastAsia="方正仿宋简体"/>
      <w:bCs/>
      <w:snapToGrid w:val="0"/>
      <w:kern w:val="0"/>
      <w:sz w:val="32"/>
      <w:szCs w:val="32"/>
    </w:rPr>
  </w:style>
  <w:style w:type="character" w:customStyle="1" w:styleId="28">
    <w:name w:val="批注框文本 Char"/>
    <w:basedOn w:val="18"/>
    <w:link w:val="8"/>
    <w:semiHidden/>
    <w:qFormat/>
    <w:uiPriority w:val="99"/>
    <w:rPr>
      <w:rFonts w:ascii="Times New Roman" w:hAnsi="Times New Roman" w:eastAsia="宋体" w:cs="Times New Roman"/>
      <w:sz w:val="18"/>
      <w:szCs w:val="18"/>
    </w:rPr>
  </w:style>
  <w:style w:type="character" w:customStyle="1" w:styleId="29">
    <w:name w:val="批注文字 Char"/>
    <w:basedOn w:val="18"/>
    <w:link w:val="4"/>
    <w:semiHidden/>
    <w:qFormat/>
    <w:uiPriority w:val="99"/>
    <w:rPr>
      <w:rFonts w:ascii="Times New Roman" w:hAnsi="Times New Roman" w:eastAsia="宋体" w:cs="Times New Roman"/>
      <w:szCs w:val="20"/>
    </w:rPr>
  </w:style>
  <w:style w:type="character" w:customStyle="1" w:styleId="30">
    <w:name w:val="纯文本 Char"/>
    <w:basedOn w:val="18"/>
    <w:link w:val="6"/>
    <w:qFormat/>
    <w:uiPriority w:val="0"/>
    <w:rPr>
      <w:rFonts w:ascii="仿宋_GB2312" w:hAnsi="Times New Roman" w:eastAsia="宋体" w:cs="Times New Roman"/>
      <w:sz w:val="24"/>
      <w:szCs w:val="20"/>
    </w:rPr>
  </w:style>
  <w:style w:type="paragraph" w:customStyle="1" w:styleId="31">
    <w:name w:val="_Style 8"/>
    <w:basedOn w:val="1"/>
    <w:next w:val="1"/>
    <w:qFormat/>
    <w:uiPriority w:val="0"/>
    <w:pPr>
      <w:spacing w:line="360" w:lineRule="auto"/>
      <w:ind w:firstLine="480" w:firstLineChars="200"/>
    </w:pPr>
    <w:rPr>
      <w:rFonts w:ascii="仿宋_GB2312"/>
      <w:sz w:val="24"/>
    </w:rPr>
  </w:style>
  <w:style w:type="paragraph" w:styleId="32">
    <w:name w:val="List Paragraph"/>
    <w:basedOn w:val="1"/>
    <w:qFormat/>
    <w:uiPriority w:val="34"/>
    <w:pPr>
      <w:ind w:firstLine="420" w:firstLineChars="200"/>
    </w:pPr>
    <w:rPr>
      <w:rFonts w:ascii="仿宋_GB2312" w:eastAsia="仿宋_GB2312"/>
      <w:spacing w:val="-4"/>
      <w:sz w:val="32"/>
    </w:rPr>
  </w:style>
  <w:style w:type="character" w:customStyle="1" w:styleId="33">
    <w:name w:val="正文文本缩进 2 Char"/>
    <w:basedOn w:val="18"/>
    <w:link w:val="7"/>
    <w:qFormat/>
    <w:uiPriority w:val="0"/>
    <w:rPr>
      <w:rFonts w:ascii="Times New Roman" w:hAnsi="Times New Roman" w:eastAsia="宋体" w:cs="Times New Roman"/>
      <w:b/>
      <w:bCs/>
      <w:sz w:val="28"/>
      <w:szCs w:val="24"/>
    </w:rPr>
  </w:style>
  <w:style w:type="character" w:customStyle="1" w:styleId="34">
    <w:name w:val="标题 Char"/>
    <w:basedOn w:val="18"/>
    <w:link w:val="14"/>
    <w:qFormat/>
    <w:uiPriority w:val="0"/>
    <w:rPr>
      <w:rFonts w:ascii="Cambria" w:hAnsi="Cambria" w:eastAsia="黑体" w:cs="Times New Roman"/>
      <w:b/>
      <w:bCs/>
      <w:sz w:val="52"/>
      <w:szCs w:val="32"/>
    </w:rPr>
  </w:style>
  <w:style w:type="character" w:customStyle="1" w:styleId="35">
    <w:name w:val="批注主题 Char"/>
    <w:basedOn w:val="29"/>
    <w:link w:val="15"/>
    <w:semiHidden/>
    <w:qFormat/>
    <w:uiPriority w:val="99"/>
    <w:rPr>
      <w:rFonts w:ascii="Times New Roman" w:hAnsi="Times New Roman" w:eastAsia="宋体" w:cs="Times New Roman"/>
      <w:b/>
      <w:bCs/>
      <w:szCs w:val="20"/>
    </w:rPr>
  </w:style>
  <w:style w:type="character" w:customStyle="1" w:styleId="36">
    <w:name w:val="title1"/>
    <w:qFormat/>
    <w:uiPriority w:val="0"/>
    <w:rPr>
      <w:b/>
      <w:bCs/>
      <w:color w:val="999900"/>
      <w:sz w:val="24"/>
      <w:szCs w:val="24"/>
    </w:rPr>
  </w:style>
  <w:style w:type="paragraph" w:customStyle="1" w:styleId="37">
    <w:name w:val="TOC 标题1"/>
    <w:basedOn w:val="2"/>
    <w:next w:val="1"/>
    <w:unhideWhenUsed/>
    <w:qFormat/>
    <w:uiPriority w:val="39"/>
    <w:pPr>
      <w:spacing w:before="240" w:after="0" w:line="259" w:lineRule="auto"/>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1822</Words>
  <Characters>2191</Characters>
  <Lines>17</Lines>
  <Paragraphs>4</Paragraphs>
  <TotalTime>197</TotalTime>
  <ScaleCrop>false</ScaleCrop>
  <LinksUpToDate>false</LinksUpToDate>
  <CharactersWithSpaces>2352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2022-01-26T08:15:00Z</dcterms:created>
  <dc:creator>胡胜链</dc:creator>
  <cp:lastModifiedBy>李子明</cp:lastModifiedBy>
  <cp:lastPrinted>2022-01-28T09:53:00Z</cp:lastPrinted>
  <dcterms:modified xsi:type="dcterms:W3CDTF">2026-06-12T03:38:17Z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5BCCB0A9BFD746448F28A1ADA6645736_13</vt:lpwstr>
  </property>
  <property fmtid="{D5CDD505-2E9C-101B-9397-08002B2CF9AE}" pid="4" name="KSOTemplateDocerSaveRecord">
    <vt:lpwstr>eyJoZGlkIjoiNjNmMzRlMWM0NTAwZjlhOWJmN2U5OTk4OWJlZTdlNTAiLCJ1c2VySWQiOiIyNTU5NzkxODMifQ==</vt:lpwstr>
  </property>
</Properties>
</file>