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E2B9D">
      <w:pPr>
        <w:jc w:val="center"/>
        <w:rPr>
          <w:rStyle w:val="13"/>
          <w:rFonts w:eastAsia="方正小标宋简体"/>
          <w:bCs w:val="0"/>
          <w:color w:val="auto"/>
          <w:sz w:val="36"/>
          <w:szCs w:val="36"/>
        </w:rPr>
      </w:pPr>
      <w:r>
        <w:rPr>
          <w:rStyle w:val="13"/>
          <w:rFonts w:eastAsia="方正小标宋简体"/>
          <w:b w:val="0"/>
          <w:color w:val="auto"/>
          <w:sz w:val="36"/>
          <w:szCs w:val="36"/>
        </w:rPr>
        <w:t>浙江省科学技术奖公示信息表</w:t>
      </w:r>
      <w:r>
        <w:rPr>
          <w:rStyle w:val="13"/>
          <w:rFonts w:eastAsia="仿宋_GB2312"/>
          <w:b w:val="0"/>
          <w:color w:val="auto"/>
          <w:sz w:val="32"/>
          <w:szCs w:val="32"/>
        </w:rPr>
        <w:t>（专家提名）</w:t>
      </w:r>
    </w:p>
    <w:p w14:paraId="63239B69">
      <w:pPr>
        <w:spacing w:line="440" w:lineRule="exact"/>
        <w:rPr>
          <w:rFonts w:eastAsia="仿宋_GB2312"/>
          <w:sz w:val="28"/>
          <w:szCs w:val="24"/>
        </w:rPr>
      </w:pPr>
      <w:r>
        <w:rPr>
          <w:rFonts w:eastAsia="仿宋_GB2312"/>
          <w:sz w:val="28"/>
          <w:szCs w:val="24"/>
        </w:rPr>
        <w:t>提名奖项：（科学技术进步奖）</w:t>
      </w:r>
    </w:p>
    <w:tbl>
      <w:tblPr>
        <w:tblStyle w:val="5"/>
        <w:tblW w:w="8506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6809"/>
      </w:tblGrid>
      <w:tr w14:paraId="758CD5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97" w:type="dxa"/>
            <w:vAlign w:val="center"/>
          </w:tcPr>
          <w:p w14:paraId="6C285DB7">
            <w:pPr>
              <w:jc w:val="center"/>
              <w:rPr>
                <w:rStyle w:val="13"/>
                <w:rFonts w:hint="default" w:ascii="Times New Roman" w:hAnsi="Times New Roman" w:eastAsia="仿宋_GB2312" w:cs="Times New Roman"/>
                <w:b w:val="0"/>
                <w:color w:val="auto"/>
                <w:sz w:val="28"/>
              </w:rPr>
            </w:pPr>
            <w:r>
              <w:rPr>
                <w:rStyle w:val="13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</w:rPr>
              <w:t>成果名称</w:t>
            </w:r>
          </w:p>
        </w:tc>
        <w:tc>
          <w:tcPr>
            <w:tcW w:w="6809" w:type="dxa"/>
            <w:vAlign w:val="center"/>
          </w:tcPr>
          <w:p w14:paraId="5D54A87D">
            <w:pPr>
              <w:jc w:val="center"/>
              <w:rPr>
                <w:rStyle w:val="13"/>
                <w:rFonts w:hint="default" w:ascii="Times New Roman" w:hAnsi="Times New Roman" w:eastAsia="仿宋_GB2312" w:cs="Times New Roman"/>
                <w:b w:val="0"/>
                <w:color w:val="auto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高能效多尺度相变对流换热理论方法及应用</w:t>
            </w:r>
          </w:p>
        </w:tc>
      </w:tr>
      <w:tr w14:paraId="0019FC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97" w:type="dxa"/>
            <w:vAlign w:val="center"/>
          </w:tcPr>
          <w:p w14:paraId="57DEC5E9">
            <w:pPr>
              <w:jc w:val="center"/>
              <w:rPr>
                <w:rStyle w:val="13"/>
                <w:rFonts w:hint="default" w:ascii="Times New Roman" w:hAnsi="Times New Roman" w:eastAsia="仿宋_GB2312" w:cs="Times New Roman"/>
                <w:b w:val="0"/>
                <w:color w:val="auto"/>
                <w:sz w:val="28"/>
              </w:rPr>
            </w:pPr>
            <w:r>
              <w:rPr>
                <w:rStyle w:val="13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</w:rPr>
              <w:t>提名等级</w:t>
            </w:r>
          </w:p>
        </w:tc>
        <w:tc>
          <w:tcPr>
            <w:tcW w:w="6809" w:type="dxa"/>
            <w:vAlign w:val="center"/>
          </w:tcPr>
          <w:p w14:paraId="5045EAFE">
            <w:pPr>
              <w:jc w:val="center"/>
              <w:rPr>
                <w:rStyle w:val="13"/>
                <w:rFonts w:hint="default" w:ascii="Times New Roman" w:hAnsi="Times New Roman" w:eastAsia="仿宋_GB2312" w:cs="Times New Roman"/>
                <w:b w:val="0"/>
                <w:color w:val="auto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一等奖</w:t>
            </w:r>
          </w:p>
        </w:tc>
      </w:tr>
      <w:tr w14:paraId="667BB3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9" w:hRule="atLeast"/>
        </w:trPr>
        <w:tc>
          <w:tcPr>
            <w:tcW w:w="1697" w:type="dxa"/>
            <w:vAlign w:val="center"/>
          </w:tcPr>
          <w:p w14:paraId="60AAA785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4"/>
              </w:rPr>
              <w:t>提名书</w:t>
            </w:r>
          </w:p>
          <w:p w14:paraId="13B57B8B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4"/>
              </w:rPr>
              <w:t>相关内容</w:t>
            </w:r>
          </w:p>
        </w:tc>
        <w:tc>
          <w:tcPr>
            <w:tcW w:w="6809" w:type="dxa"/>
            <w:vAlign w:val="center"/>
          </w:tcPr>
          <w:p w14:paraId="240FA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主要知识产权和标准规范目录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：</w:t>
            </w:r>
          </w:p>
          <w:p w14:paraId="26DF1B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ZL200910048812.2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微小管径内蒸发/冷凝传热测试一体装置及其测试方法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》</w:t>
            </w:r>
          </w:p>
          <w:p w14:paraId="47128C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ZL202210193339.2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换热器和空调器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》</w:t>
            </w:r>
          </w:p>
          <w:p w14:paraId="01E854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ZL202110089365.6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节流元件、节流分液组件和空调室内机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》</w:t>
            </w:r>
          </w:p>
          <w:p w14:paraId="48B388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ZL201910023518.X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一种换热器和空调器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》</w:t>
            </w:r>
          </w:p>
          <w:p w14:paraId="10FB15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ZL202111524231.9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用于空调器控制的方法、装置、空调器及存储介质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》</w:t>
            </w:r>
          </w:p>
          <w:p w14:paraId="65A705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GB 21350-2023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铜及铜合金加工材单位产品能源消耗限额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》</w:t>
            </w:r>
          </w:p>
          <w:p w14:paraId="171AF4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GB/T 17791-2017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空调与制冷设备用无缝铜管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》</w:t>
            </w:r>
          </w:p>
          <w:p w14:paraId="3A513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代表性论文专著目录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：</w:t>
            </w:r>
          </w:p>
          <w:p w14:paraId="47149A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撰写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两相流百科全书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《Two-phase Flow and Boiling in Micro/Mini-Channels and Micro-fin Tubes》最终章节</w:t>
            </w:r>
          </w:p>
          <w:p w14:paraId="253169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A general criterion for evaporative heat transfer in micro/mini-channels /International Journal of Heat and Mass Transfer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》</w:t>
            </w:r>
          </w:p>
          <w:p w14:paraId="274296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Heat transfer characteristics of falling film evaporation on horizontal tube arrays /International Journal of Heat and Mass Transfer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》</w:t>
            </w:r>
            <w:bookmarkStart w:id="0" w:name="_GoBack"/>
            <w:bookmarkEnd w:id="0"/>
          </w:p>
        </w:tc>
      </w:tr>
      <w:tr w14:paraId="2672EA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1697" w:type="dxa"/>
            <w:tcBorders>
              <w:right w:val="single" w:color="auto" w:sz="4" w:space="0"/>
            </w:tcBorders>
            <w:vAlign w:val="center"/>
          </w:tcPr>
          <w:p w14:paraId="570615F7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4"/>
              </w:rPr>
              <w:t>主要完成人</w:t>
            </w:r>
          </w:p>
        </w:tc>
        <w:tc>
          <w:tcPr>
            <w:tcW w:w="6809" w:type="dxa"/>
            <w:tcBorders>
              <w:left w:val="single" w:color="auto" w:sz="4" w:space="0"/>
            </w:tcBorders>
            <w:vAlign w:val="center"/>
          </w:tcPr>
          <w:p w14:paraId="50928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李蔚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排名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教授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浙江大学</w:t>
            </w:r>
          </w:p>
          <w:p w14:paraId="5C77C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王飞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排名2，高级工程师，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青岛海尔空调器有限总公司</w:t>
            </w:r>
          </w:p>
          <w:p w14:paraId="5BBDD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徐进良，排名3，教授，华北电力大学</w:t>
            </w:r>
          </w:p>
          <w:p w14:paraId="47DB5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曹衍龙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排名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，教授，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浙江大学</w:t>
            </w:r>
          </w:p>
          <w:p w14:paraId="2068E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柯汉兵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排名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，研究员，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中国船舶集团有限公司第七一九研究所</w:t>
            </w:r>
          </w:p>
          <w:p w14:paraId="037E5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魏连运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排名</w:t>
            </w:r>
            <w:r>
              <w:rPr>
                <w:rFonts w:ascii="仿宋" w:hAnsi="仿宋" w:eastAsia="仿宋"/>
                <w:sz w:val="24"/>
                <w:szCs w:val="24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，高级工程师，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浙江海亮股份有限公司</w:t>
            </w:r>
          </w:p>
          <w:p w14:paraId="5B62C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程大勇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排名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，高级工程师，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金龙精密铜管集团股份有限公司</w:t>
            </w:r>
          </w:p>
          <w:p w14:paraId="6E326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项燕龙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排名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，工程师，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宁波金田铜业（集团）股份有限公司</w:t>
            </w:r>
          </w:p>
          <w:p w14:paraId="03F75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董源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排名</w:t>
            </w:r>
            <w:r>
              <w:rPr>
                <w:rFonts w:ascii="仿宋" w:hAnsi="仿宋" w:eastAsia="仿宋"/>
                <w:sz w:val="24"/>
                <w:szCs w:val="24"/>
              </w:rPr>
              <w:t>9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，研究员，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杭州电子科技大学</w:t>
            </w:r>
          </w:p>
          <w:p w14:paraId="15F52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冀文涛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排名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0，教授，西安交通大学</w:t>
            </w:r>
          </w:p>
          <w:p w14:paraId="68147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李乐奇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排名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1，高级工程师，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金龙精密铜管集团股份有限公司</w:t>
            </w:r>
          </w:p>
          <w:p w14:paraId="49CC1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李俊业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排名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2，工程师，浙江大学</w:t>
            </w:r>
          </w:p>
          <w:p w14:paraId="79CB5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唐苇羽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排名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3，工程师，浙江大学</w:t>
            </w:r>
          </w:p>
        </w:tc>
      </w:tr>
      <w:tr w14:paraId="3769BC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1697" w:type="dxa"/>
            <w:tcBorders>
              <w:right w:val="single" w:color="auto" w:sz="4" w:space="0"/>
            </w:tcBorders>
            <w:vAlign w:val="center"/>
          </w:tcPr>
          <w:p w14:paraId="440ABEA3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4"/>
              </w:rPr>
              <w:t>主要完成单位</w:t>
            </w:r>
          </w:p>
        </w:tc>
        <w:tc>
          <w:tcPr>
            <w:tcW w:w="6809" w:type="dxa"/>
            <w:tcBorders>
              <w:left w:val="single" w:color="auto" w:sz="4" w:space="0"/>
            </w:tcBorders>
            <w:vAlign w:val="center"/>
          </w:tcPr>
          <w:p w14:paraId="54F08FC0">
            <w:pPr>
              <w:pStyle w:val="11"/>
              <w:numPr>
                <w:ilvl w:val="0"/>
                <w:numId w:val="3"/>
              </w:numPr>
              <w:ind w:firstLineChars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浙江大学</w:t>
            </w:r>
          </w:p>
          <w:p w14:paraId="7C075A41">
            <w:pPr>
              <w:pStyle w:val="11"/>
              <w:numPr>
                <w:ilvl w:val="0"/>
                <w:numId w:val="3"/>
              </w:numPr>
              <w:ind w:firstLineChars="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青岛海尔空调器有限总公司</w:t>
            </w:r>
          </w:p>
          <w:p w14:paraId="7E6AA9B0">
            <w:pPr>
              <w:pStyle w:val="11"/>
              <w:numPr>
                <w:ilvl w:val="0"/>
                <w:numId w:val="3"/>
              </w:numPr>
              <w:ind w:firstLineChars="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华北电力大学</w:t>
            </w:r>
          </w:p>
          <w:p w14:paraId="4472DC2D">
            <w:pPr>
              <w:pStyle w:val="11"/>
              <w:numPr>
                <w:ilvl w:val="0"/>
                <w:numId w:val="3"/>
              </w:numPr>
              <w:ind w:firstLineChars="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中国船舶集团有限公司第七一九研究所</w:t>
            </w:r>
          </w:p>
          <w:p w14:paraId="0A3741C6">
            <w:pPr>
              <w:pStyle w:val="11"/>
              <w:numPr>
                <w:ilvl w:val="0"/>
                <w:numId w:val="3"/>
              </w:numPr>
              <w:ind w:firstLineChars="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浙江海亮股份有限公司</w:t>
            </w:r>
          </w:p>
          <w:p w14:paraId="147E01FF">
            <w:pPr>
              <w:pStyle w:val="11"/>
              <w:numPr>
                <w:ilvl w:val="0"/>
                <w:numId w:val="3"/>
              </w:numPr>
              <w:ind w:firstLineChars="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金龙精密铜管集团股份有限公司</w:t>
            </w:r>
          </w:p>
          <w:p w14:paraId="17BE10F2">
            <w:pPr>
              <w:pStyle w:val="11"/>
              <w:numPr>
                <w:ilvl w:val="0"/>
                <w:numId w:val="3"/>
              </w:numPr>
              <w:ind w:firstLineChars="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宁波金田铜业（集团）股份有限公司</w:t>
            </w:r>
          </w:p>
          <w:p w14:paraId="397949A8">
            <w:pPr>
              <w:pStyle w:val="11"/>
              <w:numPr>
                <w:ilvl w:val="0"/>
                <w:numId w:val="3"/>
              </w:numPr>
              <w:ind w:firstLineChars="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杭州电子科技大学</w:t>
            </w:r>
          </w:p>
          <w:p w14:paraId="002E327C">
            <w:pPr>
              <w:pStyle w:val="11"/>
              <w:numPr>
                <w:ilvl w:val="0"/>
                <w:numId w:val="3"/>
              </w:numPr>
              <w:ind w:firstLineChars="0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西安交通大学</w:t>
            </w:r>
          </w:p>
        </w:tc>
      </w:tr>
      <w:tr w14:paraId="5CF523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6" w:hRule="atLeast"/>
        </w:trPr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56D50">
            <w:pPr>
              <w:spacing w:line="440" w:lineRule="exact"/>
              <w:jc w:val="center"/>
              <w:rPr>
                <w:rStyle w:val="13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</w:rPr>
            </w:pPr>
            <w:r>
              <w:rPr>
                <w:rStyle w:val="13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</w:rPr>
              <w:t>提名专家</w:t>
            </w:r>
          </w:p>
        </w:tc>
        <w:tc>
          <w:tcPr>
            <w:tcW w:w="6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7B3372">
            <w:pPr>
              <w:contextualSpacing/>
              <w:jc w:val="left"/>
              <w:rPr>
                <w:rFonts w:hint="default" w:ascii="Times New Roman" w:hAnsi="Times New Roman" w:eastAsia="仿宋_GB2312" w:cs="Times New Roman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32"/>
              </w:rPr>
              <w:t>（独立提名）</w:t>
            </w:r>
          </w:p>
          <w:p w14:paraId="6E367084">
            <w:pPr>
              <w:contextualSpacing/>
              <w:jc w:val="left"/>
              <w:rPr>
                <w:rStyle w:val="13"/>
                <w:rFonts w:hint="default" w:ascii="Times New Roman" w:hAnsi="Times New Roman" w:eastAsia="仿宋_GB2312" w:cs="Times New Roman"/>
                <w:b w:val="0"/>
                <w:color w:val="auto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32"/>
                <w:lang w:val="en-US" w:eastAsia="zh-CN"/>
              </w:rPr>
              <w:t>韩布兴</w:t>
            </w:r>
            <w:r>
              <w:rPr>
                <w:rFonts w:hint="default" w:ascii="Times New Roman" w:hAnsi="Times New Roman" w:eastAsia="仿宋_GB2312" w:cs="Times New Roman"/>
                <w:sz w:val="24"/>
                <w:szCs w:val="32"/>
              </w:rPr>
              <w:t>、中国科学院化学研究所、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32"/>
                <w:lang w:val="en-US" w:eastAsia="zh-CN"/>
              </w:rPr>
              <w:t>正高级</w:t>
            </w:r>
            <w:r>
              <w:rPr>
                <w:rFonts w:hint="default" w:ascii="Times New Roman" w:hAnsi="Times New Roman" w:eastAsia="仿宋_GB2312" w:cs="Times New Roman"/>
                <w:sz w:val="24"/>
                <w:szCs w:val="32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32"/>
                <w:lang w:val="en-US" w:eastAsia="zh-CN"/>
              </w:rPr>
              <w:t>工程热物理</w:t>
            </w:r>
            <w:r>
              <w:rPr>
                <w:rFonts w:hint="default" w:ascii="Times New Roman" w:hAnsi="Times New Roman" w:eastAsia="仿宋_GB2312" w:cs="Times New Roman"/>
                <w:sz w:val="24"/>
                <w:szCs w:val="32"/>
              </w:rPr>
              <w:t>。</w:t>
            </w:r>
          </w:p>
        </w:tc>
      </w:tr>
      <w:tr w14:paraId="324AD3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</w:trPr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0099DB">
            <w:pPr>
              <w:spacing w:line="440" w:lineRule="exact"/>
              <w:jc w:val="center"/>
              <w:rPr>
                <w:rStyle w:val="13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</w:rPr>
            </w:pPr>
            <w:r>
              <w:rPr>
                <w:rStyle w:val="13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</w:rPr>
              <w:t>提名意见</w:t>
            </w:r>
          </w:p>
        </w:tc>
        <w:tc>
          <w:tcPr>
            <w:tcW w:w="6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0A4C91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自上世纪七十年代初以来，重大环境问题和能源供需矛盾日益凸显，能效增长减缓和能源需求增长已经成为全球重大挑战。相变对流充分利用流体潜热实现极高换热效率；两相流微尺度强化换热能够实现高效能量传递，然而三十多年来宏观、介观和微观尺度的不同两相流传热物理机制争论不休，严重阻碍了其产业化推广应用。</w:t>
            </w:r>
          </w:p>
          <w:p w14:paraId="6E510AD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该成果针对相变对流换热的理论不清晰、测量不精确、设计不高效、集成不完备等核心技术瓶颈，在863计划等多项国家项目资助下，与四家领军企业和719所合作，历经17年产学研持续攻关，对20 µm ~ 25 mm通道的全尺度两相流强化传热进行了综合研究。通过微尺度两相流物理机制分析，将表面张力纳入N-S方程；将四种基本力涵盖于邦德数和雷诺数之中，建立了一套新的两相流分析方法；解决了微尺度界定及普适关联式建立的理论难题与多年争论，推出了精确测试及跨尺度设计准则，自2012年收录到国际权威标准及欧美研究生教材并沿用至今。建立了“理论-测试-创新-产品”的完整技术体系。获发明专利150项，国家标准6项，行业标准3项，SCI和EI论文280篇。解决了军工舰船电源散热的关键难题；海尔、金龙、海亮、金田等四家国际龙头企业应用该成果，近三年新增销售收入517亿元，新增税收3.4亿元。</w:t>
            </w:r>
          </w:p>
          <w:p w14:paraId="5895068E">
            <w:pPr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华科刘伟教授任组长的七名资深专家鉴定：“总体技术达到国际先进水平，部分达到国际领先水平。”有力推动了行业高质量发展，经济和社会效益显著。</w:t>
            </w:r>
          </w:p>
          <w:p w14:paraId="399B5FB5">
            <w:pPr>
              <w:contextualSpacing/>
              <w:jc w:val="left"/>
              <w:rPr>
                <w:rStyle w:val="13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提名该成果为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浙江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省科学技术进步奖 </w:t>
            </w:r>
            <w:r>
              <w:rPr>
                <w:rFonts w:hint="eastAsia" w:ascii="Times New Roman" w:hAnsi="Times New Roman" w:eastAsia="仿宋_GB2312" w:cs="Times New Roman"/>
                <w:sz w:val="24"/>
                <w:u w:val="single"/>
              </w:rPr>
              <w:t>一</w:t>
            </w:r>
            <w:r>
              <w:rPr>
                <w:rFonts w:hint="eastAsia" w:ascii="Times New Roman" w:hAnsi="Times New Roman" w:eastAsia="仿宋_GB2312" w:cs="Times New Roman"/>
                <w:sz w:val="24"/>
                <w:u w:val="non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等奖。</w:t>
            </w:r>
          </w:p>
        </w:tc>
      </w:tr>
    </w:tbl>
    <w:p w14:paraId="63321773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1" w:fontKey="{D8622AEF-A167-48C3-80F9-E1E17FE81E0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BAB9844-8380-46D3-9662-15974F37B5A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7993E4C4-2E61-474A-8D04-BF5F3C2163C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29043B"/>
    <w:multiLevelType w:val="singleLevel"/>
    <w:tmpl w:val="2629043B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>
    <w:nsid w:val="328734A2"/>
    <w:multiLevelType w:val="multilevel"/>
    <w:tmpl w:val="328734A2"/>
    <w:lvl w:ilvl="0" w:tentative="0">
      <w:start w:val="1"/>
      <w:numFmt w:val="decimal"/>
      <w:lvlText w:val="%1."/>
      <w:lvlJc w:val="left"/>
      <w:pPr>
        <w:ind w:left="240" w:hanging="240"/>
      </w:pPr>
      <w:rPr>
        <w:rFonts w:hint="default" w:ascii="Times New Roman" w:hAnsi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4717CF9"/>
    <w:multiLevelType w:val="singleLevel"/>
    <w:tmpl w:val="64717CF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374"/>
    <w:rsid w:val="00134901"/>
    <w:rsid w:val="001705CA"/>
    <w:rsid w:val="00177E2E"/>
    <w:rsid w:val="001A4A99"/>
    <w:rsid w:val="001E5133"/>
    <w:rsid w:val="00213136"/>
    <w:rsid w:val="003B597D"/>
    <w:rsid w:val="004050C4"/>
    <w:rsid w:val="00447EAA"/>
    <w:rsid w:val="005566B8"/>
    <w:rsid w:val="00585E6E"/>
    <w:rsid w:val="00681243"/>
    <w:rsid w:val="00747EFE"/>
    <w:rsid w:val="00825374"/>
    <w:rsid w:val="00977019"/>
    <w:rsid w:val="00A50C04"/>
    <w:rsid w:val="00BB6E43"/>
    <w:rsid w:val="00C47D27"/>
    <w:rsid w:val="00CA704A"/>
    <w:rsid w:val="00D00962"/>
    <w:rsid w:val="00D0605D"/>
    <w:rsid w:val="00D959EA"/>
    <w:rsid w:val="01572F42"/>
    <w:rsid w:val="031B325E"/>
    <w:rsid w:val="0A64181A"/>
    <w:rsid w:val="178A1D29"/>
    <w:rsid w:val="1DA95191"/>
    <w:rsid w:val="2EB128D4"/>
    <w:rsid w:val="426E13F9"/>
    <w:rsid w:val="576A4C26"/>
    <w:rsid w:val="61C958E0"/>
    <w:rsid w:val="6CE40709"/>
    <w:rsid w:val="7B4029F2"/>
    <w:rsid w:val="7EC1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spacing w:line="360" w:lineRule="auto"/>
      <w:ind w:firstLine="480" w:firstLineChars="200"/>
    </w:pPr>
    <w:rPr>
      <w:rFonts w:ascii="仿宋_GB2312"/>
      <w:sz w:val="24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font21"/>
    <w:basedOn w:val="7"/>
    <w:qFormat/>
    <w:uiPriority w:val="0"/>
    <w:rPr>
      <w:rFonts w:ascii="宋体" w:hAnsi="宋体" w:eastAsia="宋体" w:cs="宋体"/>
      <w:color w:val="000000"/>
      <w:sz w:val="10"/>
      <w:szCs w:val="10"/>
      <w:u w:val="none"/>
    </w:rPr>
  </w:style>
  <w:style w:type="character" w:customStyle="1" w:styleId="13">
    <w:name w:val="title1"/>
    <w:qFormat/>
    <w:uiPriority w:val="0"/>
    <w:rPr>
      <w:b/>
      <w:bCs/>
      <w:color w:val="9999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1304</Words>
  <Characters>1664</Characters>
  <Lines>2</Lines>
  <Paragraphs>1</Paragraphs>
  <TotalTime>155</TotalTime>
  <ScaleCrop>false</ScaleCrop>
  <LinksUpToDate>false</LinksUpToDate>
  <CharactersWithSpaces>1710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2025-08-20T10:22:00Z</dcterms:created>
  <dc:creator>tw l</dc:creator>
  <cp:lastModifiedBy>lemon </cp:lastModifiedBy>
  <dcterms:modified xsi:type="dcterms:W3CDTF">2026-06-09T10:39:08Z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0D83D83C4635486094050FF5E257BF0B_13</vt:lpwstr>
  </property>
  <property fmtid="{D5CDD505-2E9C-101B-9397-08002B2CF9AE}" pid="4" name="KSOTemplateDocerSaveRecord">
    <vt:lpwstr>eyJoZGlkIjoiMWZlNzU2NWQ2NDg3YmRkZTczZmFhN2Q3NDNiZmQwYWUiLCJ1c2VySWQiOiIxMDYwMTI0NDQ0In0=</vt:lpwstr>
  </property>
</Properties>
</file>