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69" w:line="400" w:lineRule="exact"/>
        <w:ind w:left="120"/>
        <w:jc w:val="right"/>
      </w:pPr>
    </w:p>
    <w:p>
      <w:pPr>
        <w:spacing w:after="269" w:line="400" w:lineRule="exact"/>
        <w:ind w:left="120"/>
        <w:jc w:val="center"/>
      </w:pPr>
      <w:r>
        <w:rPr>
          <w:rFonts w:hint="eastAsia" w:ascii="黑体" w:hAnsi="黑体" w:eastAsia="黑体" w:cs="黑体"/>
          <w:b w:val="0"/>
          <w:i w:val="0"/>
          <w:color w:val="000000"/>
          <w:sz w:val="36"/>
          <w:lang w:val="en-US" w:eastAsia="zh-CN"/>
        </w:rPr>
        <w:t>风电机组监测保护系统</w:t>
      </w:r>
      <w:r>
        <w:rPr>
          <w:rFonts w:ascii="黑体" w:hAnsi="黑体" w:eastAsia="黑体" w:cs="黑体"/>
          <w:b w:val="0"/>
          <w:i w:val="0"/>
          <w:color w:val="000000"/>
          <w:sz w:val="36"/>
        </w:rPr>
        <w:t>安装</w:t>
      </w:r>
      <w:r>
        <w:rPr>
          <w:rFonts w:hint="eastAsia" w:ascii="黑体" w:hAnsi="黑体" w:eastAsia="黑体" w:cs="黑体"/>
          <w:b w:val="0"/>
          <w:i w:val="0"/>
          <w:color w:val="000000"/>
          <w:sz w:val="36"/>
          <w:lang w:val="en-US" w:eastAsia="zh-CN"/>
        </w:rPr>
        <w:t>调试技术服务</w:t>
      </w:r>
      <w:r>
        <w:rPr>
          <w:rFonts w:ascii="黑体" w:hAnsi="黑体" w:eastAsia="黑体" w:cs="黑体"/>
          <w:b w:val="0"/>
          <w:i w:val="0"/>
          <w:color w:val="000000"/>
          <w:sz w:val="36"/>
        </w:rPr>
        <w:t>合同</w:t>
      </w:r>
    </w:p>
    <w:p>
      <w:pPr>
        <w:spacing w:after="269" w:line="400" w:lineRule="exact"/>
        <w:ind w:left="120"/>
        <w:jc w:val="right"/>
      </w:pPr>
    </w:p>
    <w:p>
      <w:pPr>
        <w:spacing w:after="269" w:line="400" w:lineRule="exact"/>
        <w:ind w:left="120"/>
        <w:jc w:val="right"/>
      </w:pPr>
    </w:p>
    <w:p>
      <w:pPr>
        <w:spacing w:before="400" w:after="0" w:line="400" w:lineRule="exact"/>
        <w:ind w:left="120" w:firstLine="480"/>
        <w:jc w:val="both"/>
        <w:rPr>
          <w:rFonts w:hint="eastAsia" w:ascii="宋体" w:hAnsi="宋体" w:eastAsia="宋体" w:cs="宋体"/>
          <w:b w:val="0"/>
          <w:i w:val="0"/>
          <w:color w:val="000000"/>
          <w:sz w:val="24"/>
          <w:lang w:val="en-US" w:eastAsia="zh-CN"/>
        </w:rPr>
      </w:pPr>
      <w:r>
        <w:rPr>
          <w:rFonts w:hint="eastAsia" w:ascii="宋体" w:hAnsi="宋体" w:eastAsia="宋体" w:cs="宋体"/>
          <w:b w:val="0"/>
          <w:i w:val="0"/>
          <w:color w:val="000000"/>
          <w:sz w:val="24"/>
        </w:rPr>
        <w:t>甲方：</w:t>
      </w:r>
      <w:r>
        <w:rPr>
          <w:rFonts w:hint="eastAsia" w:ascii="宋体" w:hAnsi="宋体" w:eastAsia="宋体" w:cs="宋体"/>
          <w:b w:val="0"/>
          <w:i w:val="0"/>
          <w:color w:val="000000"/>
          <w:sz w:val="24"/>
          <w:lang w:val="en-US" w:eastAsia="zh-CN"/>
        </w:rPr>
        <w:t>华北电力大学</w:t>
      </w:r>
    </w:p>
    <w:p>
      <w:pPr>
        <w:spacing w:before="400" w:after="0" w:line="400" w:lineRule="exact"/>
        <w:ind w:left="120" w:firstLine="480"/>
        <w:jc w:val="both"/>
        <w:rPr>
          <w:rFonts w:hint="eastAsia" w:ascii="宋体" w:hAnsi="宋体" w:eastAsia="宋体" w:cs="宋体"/>
          <w:b w:val="0"/>
          <w:i w:val="0"/>
          <w:color w:val="000000"/>
          <w:sz w:val="24"/>
          <w:lang w:val="en-US" w:eastAsia="zh-CN"/>
        </w:rPr>
      </w:pPr>
      <w:r>
        <w:rPr>
          <w:rFonts w:hint="eastAsia" w:ascii="宋体" w:hAnsi="宋体" w:eastAsia="宋体" w:cs="宋体"/>
          <w:b w:val="0"/>
          <w:i w:val="0"/>
          <w:color w:val="000000"/>
          <w:sz w:val="24"/>
        </w:rPr>
        <w:t>乙方：</w:t>
      </w:r>
      <w:r>
        <w:rPr>
          <w:rFonts w:hint="eastAsia" w:ascii="宋体" w:hAnsi="宋体" w:eastAsia="宋体" w:cs="宋体"/>
          <w:b w:val="0"/>
          <w:i w:val="0"/>
          <w:color w:val="000000"/>
          <w:sz w:val="24"/>
          <w:lang w:val="en-US" w:eastAsia="zh-CN"/>
        </w:rPr>
        <w:t>北京中电之星科技发展有限公司</w:t>
      </w:r>
    </w:p>
    <w:p>
      <w:pPr>
        <w:pStyle w:val="2"/>
        <w:keepNext w:val="0"/>
        <w:keepLines w:val="0"/>
        <w:spacing w:before="0" w:after="0"/>
        <w:rPr>
          <w:rFonts w:hint="eastAsia"/>
          <w:b w:val="0"/>
          <w:sz w:val="24"/>
          <w:szCs w:val="24"/>
          <w:lang w:eastAsia="zh-CN"/>
        </w:rPr>
      </w:pPr>
      <w:bookmarkStart w:id="49" w:name="_GoBack"/>
      <w:bookmarkEnd w:id="49"/>
    </w:p>
    <w:p>
      <w:pPr>
        <w:pStyle w:val="2"/>
        <w:keepNext w:val="0"/>
        <w:keepLines w:val="0"/>
        <w:pageBreakBefore w:val="0"/>
        <w:widowControl w:val="0"/>
        <w:kinsoku/>
        <w:wordWrap/>
        <w:overflowPunct/>
        <w:topLinePunct w:val="0"/>
        <w:bidi w:val="0"/>
        <w:snapToGrid/>
        <w:spacing w:before="0" w:after="0" w:line="360" w:lineRule="auto"/>
        <w:ind w:firstLine="480" w:firstLineChars="200"/>
        <w:rPr>
          <w:b/>
          <w:color w:val="000000"/>
          <w:sz w:val="24"/>
          <w:szCs w:val="24"/>
        </w:rPr>
      </w:pPr>
      <w:bookmarkStart w:id="0" w:name="_Toc306284691"/>
      <w:r>
        <w:rPr>
          <w:rFonts w:hint="eastAsia"/>
          <w:b w:val="0"/>
          <w:sz w:val="24"/>
          <w:szCs w:val="24"/>
          <w:lang w:val="en-US" w:eastAsia="zh-CN"/>
        </w:rPr>
        <w:t>1、</w:t>
      </w:r>
      <w:r>
        <w:rPr>
          <w:rFonts w:hint="eastAsia"/>
          <w:b w:val="0"/>
          <w:sz w:val="24"/>
          <w:szCs w:val="24"/>
          <w:lang w:eastAsia="zh-CN"/>
        </w:rPr>
        <w:t>乙方</w:t>
      </w:r>
      <w:r>
        <w:rPr>
          <w:b w:val="0"/>
          <w:sz w:val="24"/>
          <w:szCs w:val="24"/>
        </w:rPr>
        <w:t>现场技术服务</w:t>
      </w:r>
      <w:bookmarkEnd w:id="0"/>
      <w:bookmarkStart w:id="1" w:name="_Toc17828627"/>
      <w:bookmarkEnd w:id="1"/>
      <w:bookmarkStart w:id="2" w:name="_Toc5796804"/>
      <w:bookmarkEnd w:id="2"/>
      <w:bookmarkStart w:id="3" w:name="_Toc447729932"/>
      <w:bookmarkEnd w:id="3"/>
      <w:bookmarkStart w:id="4" w:name="_Toc445031497"/>
      <w:bookmarkEnd w:id="4"/>
      <w:bookmarkStart w:id="5" w:name="_Toc435601162"/>
      <w:bookmarkEnd w:id="5"/>
      <w:bookmarkStart w:id="6" w:name="_Toc6472170"/>
      <w:bookmarkEnd w:id="6"/>
      <w:bookmarkStart w:id="7" w:name="_Toc438130834"/>
      <w:bookmarkEnd w:id="7"/>
      <w:bookmarkStart w:id="8" w:name="_Toc438394365"/>
      <w:bookmarkEnd w:id="8"/>
      <w:bookmarkStart w:id="9" w:name="_Toc435601180"/>
      <w:bookmarkEnd w:id="9"/>
      <w:bookmarkStart w:id="10" w:name="_Toc438394372"/>
      <w:bookmarkEnd w:id="10"/>
      <w:bookmarkStart w:id="11" w:name="_Toc435606490"/>
      <w:bookmarkEnd w:id="11"/>
      <w:bookmarkStart w:id="12" w:name="_Toc6472177"/>
      <w:bookmarkEnd w:id="12"/>
      <w:bookmarkStart w:id="13" w:name="_Toc435601130"/>
      <w:bookmarkEnd w:id="13"/>
      <w:bookmarkStart w:id="14" w:name="_Toc447729925"/>
      <w:bookmarkEnd w:id="14"/>
      <w:bookmarkStart w:id="15" w:name="_Toc444505344"/>
      <w:bookmarkEnd w:id="15"/>
      <w:bookmarkStart w:id="16" w:name="_Toc435601253"/>
      <w:bookmarkEnd w:id="16"/>
      <w:bookmarkStart w:id="17" w:name="_Toc4568917"/>
      <w:bookmarkEnd w:id="17"/>
      <w:bookmarkStart w:id="18" w:name="_Toc4576317"/>
      <w:bookmarkEnd w:id="18"/>
      <w:bookmarkStart w:id="19" w:name="_Toc435625131"/>
      <w:bookmarkEnd w:id="19"/>
      <w:bookmarkStart w:id="20" w:name="_Toc4568966"/>
      <w:bookmarkEnd w:id="20"/>
      <w:bookmarkStart w:id="21" w:name="_Toc435601246"/>
      <w:bookmarkEnd w:id="21"/>
      <w:bookmarkStart w:id="22" w:name="_Toc435606459"/>
      <w:bookmarkEnd w:id="22"/>
      <w:bookmarkStart w:id="23" w:name="_Toc438548569"/>
      <w:bookmarkEnd w:id="23"/>
      <w:bookmarkStart w:id="24" w:name="_Toc435606466"/>
      <w:bookmarkEnd w:id="24"/>
      <w:bookmarkStart w:id="25" w:name="_Toc435625124"/>
      <w:bookmarkEnd w:id="25"/>
      <w:bookmarkStart w:id="26" w:name="_Toc435625270"/>
      <w:bookmarkEnd w:id="26"/>
      <w:bookmarkStart w:id="27" w:name="_Toc445031504"/>
      <w:bookmarkEnd w:id="27"/>
      <w:bookmarkStart w:id="28" w:name="_Toc435601187"/>
      <w:bookmarkEnd w:id="28"/>
      <w:bookmarkStart w:id="29" w:name="_Toc17828634"/>
      <w:bookmarkEnd w:id="29"/>
      <w:bookmarkStart w:id="30" w:name="_Toc4568989"/>
      <w:bookmarkEnd w:id="30"/>
      <w:bookmarkStart w:id="31" w:name="_Toc5796797"/>
      <w:bookmarkEnd w:id="31"/>
      <w:bookmarkStart w:id="32" w:name="_Toc438130827"/>
      <w:bookmarkEnd w:id="32"/>
      <w:bookmarkStart w:id="33" w:name="_Toc444505351"/>
      <w:bookmarkEnd w:id="33"/>
      <w:bookmarkStart w:id="34" w:name="_Toc438548576"/>
      <w:bookmarkEnd w:id="34"/>
      <w:bookmarkStart w:id="35" w:name="_Toc4568982"/>
      <w:bookmarkEnd w:id="35"/>
      <w:bookmarkStart w:id="36" w:name="_Toc445028545"/>
      <w:bookmarkEnd w:id="36"/>
      <w:bookmarkStart w:id="37" w:name="_Toc17828738"/>
      <w:bookmarkEnd w:id="37"/>
      <w:bookmarkStart w:id="38" w:name="_Toc435601123"/>
      <w:bookmarkEnd w:id="38"/>
      <w:bookmarkStart w:id="39" w:name="_Toc4568959"/>
      <w:bookmarkEnd w:id="39"/>
      <w:bookmarkStart w:id="40" w:name="_Toc445028538"/>
      <w:bookmarkEnd w:id="40"/>
      <w:bookmarkStart w:id="41" w:name="_Toc4576310"/>
      <w:bookmarkEnd w:id="41"/>
      <w:bookmarkStart w:id="42" w:name="_Toc4568924"/>
      <w:bookmarkEnd w:id="42"/>
      <w:bookmarkStart w:id="43" w:name="_Toc435601155"/>
      <w:bookmarkEnd w:id="43"/>
      <w:bookmarkStart w:id="44" w:name="_Toc17828745"/>
      <w:bookmarkEnd w:id="44"/>
      <w:bookmarkStart w:id="45" w:name="_Toc435606483"/>
      <w:bookmarkEnd w:id="45"/>
      <w:bookmarkStart w:id="46" w:name="_Toc435625277"/>
      <w:bookmarkEnd w:id="46"/>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sz w:val="24"/>
          <w:szCs w:val="24"/>
        </w:rPr>
      </w:pPr>
      <w:r>
        <w:rPr>
          <w:rFonts w:hint="eastAsia"/>
          <w:b w:val="0"/>
          <w:bCs/>
          <w:sz w:val="24"/>
          <w:szCs w:val="24"/>
          <w:lang w:val="en-US" w:eastAsia="zh-CN"/>
        </w:rPr>
        <w:t>1.1</w:t>
      </w:r>
      <w:r>
        <w:rPr>
          <w:rFonts w:hint="eastAsia"/>
          <w:b w:val="0"/>
          <w:sz w:val="24"/>
          <w:szCs w:val="24"/>
          <w:lang w:eastAsia="zh-CN"/>
        </w:rPr>
        <w:t>乙方</w:t>
      </w:r>
      <w:r>
        <w:rPr>
          <w:b w:val="0"/>
          <w:sz w:val="24"/>
          <w:szCs w:val="24"/>
        </w:rPr>
        <w:t>现场服务人员的目的是使所供设备安全、正常投运</w:t>
      </w:r>
      <w:r>
        <w:rPr>
          <w:rFonts w:hint="eastAsia"/>
          <w:b w:val="0"/>
          <w:sz w:val="24"/>
          <w:szCs w:val="24"/>
        </w:rPr>
        <w:t>（若为三相组装变，还包括现场搭建临时厂房、现场施工组装、试验、移至变压器基座、配合现场交接试验）</w:t>
      </w:r>
      <w:r>
        <w:rPr>
          <w:b w:val="0"/>
          <w:sz w:val="24"/>
          <w:szCs w:val="24"/>
        </w:rPr>
        <w:t>。</w:t>
      </w:r>
      <w:r>
        <w:rPr>
          <w:rFonts w:hint="eastAsia"/>
          <w:b w:val="0"/>
          <w:sz w:val="24"/>
          <w:szCs w:val="24"/>
          <w:lang w:eastAsia="zh-CN"/>
        </w:rPr>
        <w:t>乙方</w:t>
      </w:r>
      <w:r>
        <w:rPr>
          <w:b w:val="0"/>
          <w:sz w:val="24"/>
          <w:szCs w:val="24"/>
        </w:rPr>
        <w:t>要派合格的、能独立解决问题的现场服务人员。</w:t>
      </w:r>
      <w:r>
        <w:rPr>
          <w:rFonts w:hint="eastAsia"/>
          <w:b w:val="0"/>
          <w:sz w:val="24"/>
          <w:szCs w:val="24"/>
          <w:lang w:eastAsia="zh-CN"/>
        </w:rPr>
        <w:t>乙方</w:t>
      </w:r>
      <w:r>
        <w:rPr>
          <w:b w:val="0"/>
          <w:sz w:val="24"/>
          <w:szCs w:val="24"/>
        </w:rPr>
        <w:t>提供的包括服务人天数的现场服务表能满足工程需要。如果由于</w:t>
      </w:r>
      <w:r>
        <w:rPr>
          <w:rFonts w:hint="eastAsia"/>
          <w:b w:val="0"/>
          <w:sz w:val="24"/>
          <w:szCs w:val="24"/>
          <w:lang w:eastAsia="zh-CN"/>
        </w:rPr>
        <w:t>乙方</w:t>
      </w:r>
      <w:r>
        <w:rPr>
          <w:b w:val="0"/>
          <w:sz w:val="24"/>
          <w:szCs w:val="24"/>
        </w:rPr>
        <w:t>的原因，下表中的人天数不能满足工程需要，</w:t>
      </w:r>
      <w:r>
        <w:rPr>
          <w:rFonts w:hint="eastAsia"/>
          <w:b w:val="0"/>
          <w:sz w:val="24"/>
          <w:szCs w:val="24"/>
          <w:lang w:eastAsia="zh-CN"/>
        </w:rPr>
        <w:t>甲方</w:t>
      </w:r>
      <w:r>
        <w:rPr>
          <w:b w:val="0"/>
          <w:sz w:val="24"/>
          <w:szCs w:val="24"/>
        </w:rPr>
        <w:t>有权追加人天数，且发生的费用由</w:t>
      </w:r>
      <w:r>
        <w:rPr>
          <w:rFonts w:hint="eastAsia"/>
          <w:b w:val="0"/>
          <w:sz w:val="24"/>
          <w:szCs w:val="24"/>
          <w:lang w:eastAsia="zh-CN"/>
        </w:rPr>
        <w:t>乙方</w:t>
      </w:r>
      <w:r>
        <w:rPr>
          <w:b w:val="0"/>
          <w:sz w:val="24"/>
          <w:szCs w:val="24"/>
        </w:rPr>
        <w:t>承担。</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val="en-US" w:eastAsia="zh-CN"/>
        </w:rPr>
        <w:t>1.2</w:t>
      </w:r>
      <w:r>
        <w:rPr>
          <w:rFonts w:hint="eastAsia"/>
          <w:b w:val="0"/>
          <w:bCs/>
          <w:sz w:val="24"/>
          <w:szCs w:val="24"/>
          <w:lang w:eastAsia="zh-CN"/>
        </w:rPr>
        <w:t>乙方</w:t>
      </w:r>
      <w:r>
        <w:rPr>
          <w:b w:val="0"/>
          <w:bCs/>
          <w:sz w:val="24"/>
          <w:szCs w:val="24"/>
        </w:rPr>
        <w:t>服务人员的一切费用己包含在合同总价中，它包括诸如服务人员的工资及各种补助、交通费、通讯费、食宿费、医疗费、各种保险费、各种税费等等。</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1.3</w:t>
      </w:r>
      <w:r>
        <w:rPr>
          <w:b w:val="0"/>
          <w:bCs/>
          <w:sz w:val="24"/>
          <w:szCs w:val="24"/>
        </w:rPr>
        <w:t>现场服务人员的工作时间与现场要求相一致，以满足现场安装、调试和运行的要求。</w:t>
      </w:r>
      <w:r>
        <w:rPr>
          <w:rFonts w:hint="eastAsia"/>
          <w:b w:val="0"/>
          <w:bCs/>
          <w:sz w:val="24"/>
          <w:szCs w:val="24"/>
          <w:lang w:eastAsia="zh-CN"/>
        </w:rPr>
        <w:t>甲方</w:t>
      </w:r>
      <w:r>
        <w:rPr>
          <w:b w:val="0"/>
          <w:bCs/>
          <w:sz w:val="24"/>
          <w:szCs w:val="24"/>
        </w:rPr>
        <w:t>不再因</w:t>
      </w:r>
      <w:r>
        <w:rPr>
          <w:rFonts w:hint="eastAsia"/>
          <w:b w:val="0"/>
          <w:bCs/>
          <w:sz w:val="24"/>
          <w:szCs w:val="24"/>
          <w:lang w:eastAsia="zh-CN"/>
        </w:rPr>
        <w:t>乙方</w:t>
      </w:r>
      <w:r>
        <w:rPr>
          <w:b w:val="0"/>
          <w:bCs/>
          <w:sz w:val="24"/>
          <w:szCs w:val="24"/>
        </w:rPr>
        <w:t>现场服务人员的加班和节假日而另付费用。</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1.4</w:t>
      </w:r>
      <w:r>
        <w:rPr>
          <w:b w:val="0"/>
          <w:bCs/>
          <w:sz w:val="24"/>
          <w:szCs w:val="24"/>
        </w:rPr>
        <w:t>未经</w:t>
      </w:r>
      <w:r>
        <w:rPr>
          <w:rFonts w:hint="eastAsia"/>
          <w:b w:val="0"/>
          <w:bCs/>
          <w:sz w:val="24"/>
          <w:szCs w:val="24"/>
          <w:lang w:eastAsia="zh-CN"/>
        </w:rPr>
        <w:t>甲方</w:t>
      </w:r>
      <w:r>
        <w:rPr>
          <w:b w:val="0"/>
          <w:bCs/>
          <w:sz w:val="24"/>
          <w:szCs w:val="24"/>
        </w:rPr>
        <w:t>同意，</w:t>
      </w:r>
      <w:r>
        <w:rPr>
          <w:rFonts w:hint="eastAsia"/>
          <w:b w:val="0"/>
          <w:bCs/>
          <w:sz w:val="24"/>
          <w:szCs w:val="24"/>
          <w:lang w:eastAsia="zh-CN"/>
        </w:rPr>
        <w:t>乙方</w:t>
      </w:r>
      <w:r>
        <w:rPr>
          <w:b w:val="0"/>
          <w:bCs/>
          <w:sz w:val="24"/>
          <w:szCs w:val="24"/>
        </w:rPr>
        <w:t>不得随意更换现场服务人员。同时，</w:t>
      </w:r>
      <w:r>
        <w:rPr>
          <w:rFonts w:hint="eastAsia"/>
          <w:b w:val="0"/>
          <w:bCs/>
          <w:sz w:val="24"/>
          <w:szCs w:val="24"/>
          <w:lang w:eastAsia="zh-CN"/>
        </w:rPr>
        <w:t>乙方</w:t>
      </w:r>
      <w:r>
        <w:rPr>
          <w:b w:val="0"/>
          <w:bCs/>
          <w:sz w:val="24"/>
          <w:szCs w:val="24"/>
        </w:rPr>
        <w:t>须及时更换</w:t>
      </w:r>
      <w:r>
        <w:rPr>
          <w:rFonts w:hint="eastAsia"/>
          <w:b w:val="0"/>
          <w:bCs/>
          <w:sz w:val="24"/>
          <w:szCs w:val="24"/>
          <w:lang w:eastAsia="zh-CN"/>
        </w:rPr>
        <w:t>甲方</w:t>
      </w:r>
      <w:r>
        <w:rPr>
          <w:b w:val="0"/>
          <w:bCs/>
          <w:sz w:val="24"/>
          <w:szCs w:val="24"/>
        </w:rPr>
        <w:t>认为不合格的</w:t>
      </w:r>
      <w:r>
        <w:rPr>
          <w:rFonts w:hint="eastAsia"/>
          <w:b w:val="0"/>
          <w:bCs/>
          <w:sz w:val="24"/>
          <w:szCs w:val="24"/>
          <w:lang w:eastAsia="zh-CN"/>
        </w:rPr>
        <w:t>乙方</w:t>
      </w:r>
      <w:r>
        <w:rPr>
          <w:b w:val="0"/>
          <w:bCs/>
          <w:sz w:val="24"/>
          <w:szCs w:val="24"/>
        </w:rPr>
        <w:t>现场服务人员。</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1.5</w:t>
      </w:r>
      <w:r>
        <w:rPr>
          <w:b w:val="0"/>
          <w:bCs/>
          <w:sz w:val="24"/>
          <w:szCs w:val="24"/>
        </w:rPr>
        <w:t>下述现场服务表中的天数均为现场服务人员人天数。</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1.5.1</w:t>
      </w:r>
      <w:r>
        <w:rPr>
          <w:b w:val="0"/>
          <w:bCs/>
          <w:sz w:val="24"/>
          <w:szCs w:val="24"/>
        </w:rPr>
        <w:t>现场服务计划表</w:t>
      </w:r>
    </w:p>
    <w:tbl>
      <w:tblPr>
        <w:tblStyle w:val="3"/>
        <w:tblW w:w="88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3175"/>
        <w:gridCol w:w="1276"/>
        <w:gridCol w:w="1701"/>
        <w:gridCol w:w="85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序号</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技术服务内容</w:t>
            </w:r>
          </w:p>
        </w:tc>
        <w:tc>
          <w:tcPr>
            <w:tcW w:w="1276"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计划人天数</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职称</w:t>
            </w:r>
          </w:p>
        </w:tc>
        <w:tc>
          <w:tcPr>
            <w:tcW w:w="850"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人数</w:t>
            </w:r>
          </w:p>
        </w:tc>
        <w:tc>
          <w:tcPr>
            <w:tcW w:w="1020"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1</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接近开关传感器的安装指导</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现场控制柜安装</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 xml:space="preserve">2 </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3</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装置离线调试、试验</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 xml:space="preserve">4 </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4</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装置易损件及维护</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 xml:space="preserve">2 </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5</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现场安装维护培训</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701" w:type="dxa"/>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1</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6</w:t>
            </w:r>
          </w:p>
        </w:tc>
        <w:tc>
          <w:tcPr>
            <w:tcW w:w="317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售后维护</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36</w:t>
            </w:r>
          </w:p>
        </w:tc>
        <w:tc>
          <w:tcPr>
            <w:tcW w:w="1701" w:type="dxa"/>
            <w:tcBorders>
              <w:bottom w:val="single" w:color="auto" w:sz="4" w:space="0"/>
            </w:tcBorders>
            <w:vAlign w:val="center"/>
          </w:tcPr>
          <w:p>
            <w:pPr>
              <w:keepNext w:val="0"/>
              <w:keepLines w:val="0"/>
              <w:pageBreakBefore w:val="0"/>
              <w:widowControl w:val="0"/>
              <w:kinsoku/>
              <w:wordWrap/>
              <w:overflowPunct/>
              <w:topLinePunct w:val="0"/>
              <w:bidi w:val="0"/>
              <w:snapToGrid/>
              <w:spacing w:line="360" w:lineRule="auto"/>
              <w:jc w:val="both"/>
              <w:rPr>
                <w:rFonts w:hint="eastAsia" w:ascii="宋体" w:hAnsi="宋体"/>
                <w:snapToGrid w:val="0"/>
                <w:color w:val="000000"/>
                <w:kern w:val="0"/>
                <w:sz w:val="24"/>
              </w:rPr>
            </w:pPr>
            <w:r>
              <w:rPr>
                <w:rFonts w:hint="eastAsia" w:ascii="宋体" w:hAnsi="宋体"/>
                <w:snapToGrid w:val="0"/>
                <w:color w:val="000000"/>
                <w:kern w:val="0"/>
                <w:sz w:val="24"/>
              </w:rPr>
              <w:t>工程师</w:t>
            </w:r>
          </w:p>
        </w:tc>
        <w:tc>
          <w:tcPr>
            <w:tcW w:w="850" w:type="dxa"/>
            <w:tcBorders>
              <w:bottom w:val="single" w:color="auto" w:sz="4" w:space="0"/>
            </w:tcBorders>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2</w:t>
            </w: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025" w:type="dxa"/>
            <w:gridSpan w:val="2"/>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合计</w:t>
            </w:r>
          </w:p>
        </w:tc>
        <w:tc>
          <w:tcPr>
            <w:tcW w:w="1276"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r>
              <w:rPr>
                <w:rFonts w:hint="eastAsia" w:ascii="宋体" w:hAnsi="宋体"/>
                <w:snapToGrid w:val="0"/>
                <w:color w:val="000000"/>
                <w:kern w:val="0"/>
                <w:sz w:val="24"/>
              </w:rPr>
              <w:t>42</w:t>
            </w:r>
          </w:p>
        </w:tc>
        <w:tc>
          <w:tcPr>
            <w:tcW w:w="1701" w:type="dxa"/>
            <w:tcBorders>
              <w:tl2br w:val="single" w:color="auto" w:sz="4" w:space="0"/>
            </w:tcBorders>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c>
          <w:tcPr>
            <w:tcW w:w="850" w:type="dxa"/>
            <w:tcBorders>
              <w:tl2br w:val="single" w:color="auto" w:sz="4" w:space="0"/>
            </w:tcBorders>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c>
          <w:tcPr>
            <w:tcW w:w="1020"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snapToGrid w:val="0"/>
                <w:color w:val="000000"/>
                <w:kern w:val="0"/>
                <w:sz w:val="24"/>
              </w:rPr>
            </w:pPr>
          </w:p>
        </w:tc>
      </w:tr>
    </w:tbl>
    <w:p>
      <w:pPr>
        <w:keepNext w:val="0"/>
        <w:keepLines w:val="0"/>
        <w:pageBreakBefore w:val="0"/>
        <w:widowControl w:val="0"/>
        <w:kinsoku/>
        <w:wordWrap/>
        <w:overflowPunct/>
        <w:topLinePunct w:val="0"/>
        <w:bidi w:val="0"/>
        <w:snapToGrid/>
        <w:spacing w:line="360" w:lineRule="auto"/>
        <w:ind w:firstLine="420" w:firstLineChars="200"/>
        <w:rPr>
          <w:b/>
        </w:rPr>
      </w:pPr>
      <w:r>
        <w:t>在下列情况下发生的服务人天数将不计入</w:t>
      </w:r>
      <w:r>
        <w:rPr>
          <w:rFonts w:hint="eastAsia"/>
          <w:lang w:eastAsia="zh-CN"/>
        </w:rPr>
        <w:t>乙方</w:t>
      </w:r>
      <w:r>
        <w:t>现场总服务人天数中：</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b w:val="0"/>
          <w:bCs/>
          <w:sz w:val="24"/>
          <w:szCs w:val="24"/>
        </w:rPr>
        <w:t>由于</w:t>
      </w:r>
      <w:r>
        <w:rPr>
          <w:rFonts w:hint="eastAsia"/>
          <w:b w:val="0"/>
          <w:bCs/>
          <w:sz w:val="24"/>
          <w:szCs w:val="24"/>
          <w:lang w:eastAsia="zh-CN"/>
        </w:rPr>
        <w:t>乙方</w:t>
      </w:r>
      <w:r>
        <w:rPr>
          <w:b w:val="0"/>
          <w:bCs/>
          <w:sz w:val="24"/>
          <w:szCs w:val="24"/>
        </w:rPr>
        <w:t>原因不能履行服务人员职责和不具备服务人员条件资质的现场服务人员人天数；</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2）</w:t>
      </w:r>
      <w:r>
        <w:rPr>
          <w:rFonts w:hint="eastAsia"/>
          <w:b w:val="0"/>
          <w:bCs/>
          <w:sz w:val="24"/>
          <w:szCs w:val="24"/>
          <w:lang w:eastAsia="zh-CN"/>
        </w:rPr>
        <w:t>乙方</w:t>
      </w:r>
      <w:r>
        <w:rPr>
          <w:b w:val="0"/>
          <w:bCs/>
          <w:sz w:val="24"/>
          <w:szCs w:val="24"/>
        </w:rPr>
        <w:t>为解决在设计、安装、调试、试运等阶段的自身技术、设备等方面出现的问题而增加的现场服务人天数；</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3）</w:t>
      </w:r>
      <w:r>
        <w:rPr>
          <w:b w:val="0"/>
          <w:bCs/>
          <w:sz w:val="24"/>
          <w:szCs w:val="24"/>
        </w:rPr>
        <w:t>因其他</w:t>
      </w:r>
      <w:r>
        <w:rPr>
          <w:rFonts w:hint="eastAsia"/>
          <w:b w:val="0"/>
          <w:bCs/>
          <w:sz w:val="24"/>
          <w:szCs w:val="24"/>
          <w:lang w:eastAsia="zh-CN"/>
        </w:rPr>
        <w:t>乙方</w:t>
      </w:r>
      <w:r>
        <w:rPr>
          <w:b w:val="0"/>
          <w:bCs/>
          <w:sz w:val="24"/>
          <w:szCs w:val="24"/>
        </w:rPr>
        <w:t>原因而增加的现场服务人员。</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1.6</w:t>
      </w:r>
      <w:r>
        <w:rPr>
          <w:rFonts w:hint="eastAsia"/>
          <w:b w:val="0"/>
          <w:bCs/>
          <w:sz w:val="24"/>
          <w:szCs w:val="24"/>
          <w:lang w:eastAsia="zh-CN"/>
        </w:rPr>
        <w:t>乙方</w:t>
      </w:r>
      <w:r>
        <w:rPr>
          <w:b w:val="0"/>
          <w:bCs/>
          <w:sz w:val="24"/>
          <w:szCs w:val="24"/>
        </w:rPr>
        <w:t>现场服务人员具有下列资质：</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1.6.1</w:t>
      </w:r>
      <w:r>
        <w:rPr>
          <w:b w:val="0"/>
          <w:bCs/>
          <w:sz w:val="24"/>
          <w:szCs w:val="24"/>
        </w:rPr>
        <w:t>遵守中华人民共和国法律，遵守现场的各项规章和制度；</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1.6.2</w:t>
      </w:r>
      <w:r>
        <w:rPr>
          <w:b w:val="0"/>
          <w:bCs/>
          <w:sz w:val="24"/>
          <w:szCs w:val="24"/>
        </w:rPr>
        <w:t>有较强的责任感和事业心，按时到位；</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1.6.3</w:t>
      </w:r>
      <w:r>
        <w:rPr>
          <w:b w:val="0"/>
          <w:bCs/>
          <w:sz w:val="24"/>
          <w:szCs w:val="24"/>
        </w:rPr>
        <w:t>了解合同设备的设计，熟悉其结构，有相同或相近机组的现场工作经验，能够正确地进行现场指导；</w:t>
      </w:r>
    </w:p>
    <w:p>
      <w:pPr>
        <w:pStyle w:val="2"/>
        <w:keepNext w:val="0"/>
        <w:keepLines w:val="0"/>
        <w:pageBreakBefore w:val="0"/>
        <w:widowControl w:val="0"/>
        <w:kinsoku/>
        <w:wordWrap/>
        <w:overflowPunct/>
        <w:topLinePunct w:val="0"/>
        <w:bidi w:val="0"/>
        <w:snapToGrid/>
        <w:spacing w:before="0" w:after="0" w:line="360" w:lineRule="auto"/>
        <w:ind w:firstLine="480" w:firstLineChars="200"/>
      </w:pPr>
      <w:r>
        <w:rPr>
          <w:rFonts w:hint="eastAsia"/>
          <w:b w:val="0"/>
          <w:bCs/>
          <w:sz w:val="24"/>
          <w:szCs w:val="24"/>
        </w:rPr>
        <w:t>1.6.4</w:t>
      </w:r>
      <w:r>
        <w:rPr>
          <w:b w:val="0"/>
          <w:bCs/>
          <w:sz w:val="24"/>
          <w:szCs w:val="24"/>
        </w:rPr>
        <w:t>身体健康，适应现场工作的条件；</w:t>
      </w:r>
    </w:p>
    <w:p>
      <w:pPr>
        <w:keepNext w:val="0"/>
        <w:keepLines w:val="0"/>
        <w:pageBreakBefore w:val="0"/>
        <w:widowControl w:val="0"/>
        <w:kinsoku/>
        <w:wordWrap/>
        <w:overflowPunct/>
        <w:topLinePunct w:val="0"/>
        <w:bidi w:val="0"/>
        <w:snapToGrid/>
        <w:spacing w:line="360" w:lineRule="auto"/>
        <w:ind w:firstLine="420" w:firstLineChars="200"/>
      </w:pP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lang w:eastAsia="zh-CN"/>
        </w:rPr>
        <w:t>乙方</w:t>
      </w:r>
      <w:r>
        <w:rPr>
          <w:b w:val="0"/>
          <w:bCs/>
          <w:sz w:val="24"/>
          <w:szCs w:val="24"/>
        </w:rPr>
        <w:t>现场服务人员的职责</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rPr>
        <w:t>.1</w:t>
      </w:r>
      <w:r>
        <w:rPr>
          <w:rFonts w:hint="eastAsia"/>
          <w:b w:val="0"/>
          <w:bCs/>
          <w:sz w:val="24"/>
          <w:szCs w:val="24"/>
          <w:lang w:eastAsia="zh-CN"/>
        </w:rPr>
        <w:t>乙方</w:t>
      </w:r>
      <w:r>
        <w:rPr>
          <w:b w:val="0"/>
          <w:bCs/>
          <w:sz w:val="24"/>
          <w:szCs w:val="24"/>
        </w:rPr>
        <w:t>现场服务人员的任务主要包括设备催交、货物的开箱检验、设备质量问题的处理、安装和调试、参加试运和性能验收试验；</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rPr>
        <w:t>.2</w:t>
      </w:r>
      <w:r>
        <w:rPr>
          <w:b w:val="0"/>
          <w:bCs/>
          <w:sz w:val="24"/>
          <w:szCs w:val="24"/>
        </w:rPr>
        <w:t>在安装和调试前，</w:t>
      </w:r>
      <w:r>
        <w:rPr>
          <w:rFonts w:hint="eastAsia"/>
          <w:b w:val="0"/>
          <w:bCs/>
          <w:sz w:val="24"/>
          <w:szCs w:val="24"/>
          <w:lang w:eastAsia="zh-CN"/>
        </w:rPr>
        <w:t>乙方</w:t>
      </w:r>
      <w:r>
        <w:rPr>
          <w:b w:val="0"/>
          <w:bCs/>
          <w:sz w:val="24"/>
          <w:szCs w:val="24"/>
        </w:rPr>
        <w:t>技术服务人员向</w:t>
      </w:r>
      <w:r>
        <w:rPr>
          <w:rFonts w:hint="eastAsia"/>
          <w:b w:val="0"/>
          <w:bCs/>
          <w:sz w:val="24"/>
          <w:szCs w:val="24"/>
          <w:lang w:eastAsia="zh-CN"/>
        </w:rPr>
        <w:t>甲方</w:t>
      </w:r>
      <w:r>
        <w:rPr>
          <w:b w:val="0"/>
          <w:bCs/>
          <w:sz w:val="24"/>
          <w:szCs w:val="24"/>
        </w:rPr>
        <w:t>进行技术交底，讲解和示范将要进行的程序和方法。在设备安装前，</w:t>
      </w:r>
      <w:r>
        <w:rPr>
          <w:rFonts w:hint="eastAsia"/>
          <w:b w:val="0"/>
          <w:bCs/>
          <w:sz w:val="24"/>
          <w:szCs w:val="24"/>
          <w:lang w:eastAsia="zh-CN"/>
        </w:rPr>
        <w:t>乙方</w:t>
      </w:r>
      <w:r>
        <w:rPr>
          <w:b w:val="0"/>
          <w:bCs/>
          <w:sz w:val="24"/>
          <w:szCs w:val="24"/>
        </w:rPr>
        <w:t>向</w:t>
      </w:r>
      <w:r>
        <w:rPr>
          <w:rFonts w:hint="eastAsia"/>
          <w:b w:val="0"/>
          <w:bCs/>
          <w:sz w:val="24"/>
          <w:szCs w:val="24"/>
          <w:lang w:eastAsia="zh-CN"/>
        </w:rPr>
        <w:t>甲方</w:t>
      </w:r>
      <w:r>
        <w:rPr>
          <w:b w:val="0"/>
          <w:bCs/>
          <w:sz w:val="24"/>
          <w:szCs w:val="24"/>
        </w:rPr>
        <w:t>提供设备安装和调试的重要工序和进度表，</w:t>
      </w:r>
      <w:r>
        <w:rPr>
          <w:rFonts w:hint="eastAsia"/>
          <w:b w:val="0"/>
          <w:bCs/>
          <w:sz w:val="24"/>
          <w:szCs w:val="24"/>
          <w:lang w:eastAsia="zh-CN"/>
        </w:rPr>
        <w:t>甲方</w:t>
      </w:r>
      <w:r>
        <w:rPr>
          <w:b w:val="0"/>
          <w:bCs/>
          <w:sz w:val="24"/>
          <w:szCs w:val="24"/>
        </w:rPr>
        <w:t>技术人员要对此进行确认，否则</w:t>
      </w:r>
      <w:r>
        <w:rPr>
          <w:rFonts w:hint="eastAsia"/>
          <w:b w:val="0"/>
          <w:bCs/>
          <w:sz w:val="24"/>
          <w:szCs w:val="24"/>
          <w:lang w:eastAsia="zh-CN"/>
        </w:rPr>
        <w:t>乙方</w:t>
      </w:r>
      <w:r>
        <w:rPr>
          <w:b w:val="0"/>
          <w:bCs/>
          <w:sz w:val="24"/>
          <w:szCs w:val="24"/>
        </w:rPr>
        <w:t>不能进行下一道工序。经</w:t>
      </w:r>
      <w:r>
        <w:rPr>
          <w:rFonts w:hint="eastAsia"/>
          <w:b w:val="0"/>
          <w:bCs/>
          <w:sz w:val="24"/>
          <w:szCs w:val="24"/>
          <w:lang w:eastAsia="zh-CN"/>
        </w:rPr>
        <w:t>甲方</w:t>
      </w:r>
      <w:r>
        <w:rPr>
          <w:b w:val="0"/>
          <w:bCs/>
          <w:sz w:val="24"/>
          <w:szCs w:val="24"/>
        </w:rPr>
        <w:t>确认的工序不因此而减轻</w:t>
      </w:r>
      <w:r>
        <w:rPr>
          <w:rFonts w:hint="eastAsia"/>
          <w:b w:val="0"/>
          <w:bCs/>
          <w:sz w:val="24"/>
          <w:szCs w:val="24"/>
          <w:lang w:eastAsia="zh-CN"/>
        </w:rPr>
        <w:t>乙方</w:t>
      </w:r>
      <w:r>
        <w:rPr>
          <w:b w:val="0"/>
          <w:bCs/>
          <w:sz w:val="24"/>
          <w:szCs w:val="24"/>
        </w:rPr>
        <w:t>技术服务人员的任何责任，对安装和调试中出现的任何问题</w:t>
      </w:r>
      <w:r>
        <w:rPr>
          <w:rFonts w:hint="eastAsia"/>
          <w:b w:val="0"/>
          <w:bCs/>
          <w:sz w:val="24"/>
          <w:szCs w:val="24"/>
          <w:lang w:eastAsia="zh-CN"/>
        </w:rPr>
        <w:t>乙方</w:t>
      </w:r>
      <w:r>
        <w:rPr>
          <w:b w:val="0"/>
          <w:bCs/>
          <w:sz w:val="24"/>
          <w:szCs w:val="24"/>
        </w:rPr>
        <w:t>仍要负全部责任；</w:t>
      </w:r>
    </w:p>
    <w:p>
      <w:pPr>
        <w:keepNext w:val="0"/>
        <w:keepLines w:val="0"/>
        <w:pageBreakBefore w:val="0"/>
        <w:widowControl w:val="0"/>
        <w:kinsoku/>
        <w:wordWrap/>
        <w:overflowPunct/>
        <w:topLinePunct w:val="0"/>
        <w:bidi w:val="0"/>
        <w:snapToGrid/>
        <w:spacing w:line="360" w:lineRule="auto"/>
        <w:ind w:firstLine="420" w:firstLineChars="200"/>
        <w:rPr>
          <w:b/>
        </w:rPr>
      </w:pPr>
      <w:r>
        <w:rPr>
          <w:rFonts w:hint="eastAsia"/>
          <w:lang w:eastAsia="zh-CN"/>
        </w:rPr>
        <w:t>乙方</w:t>
      </w:r>
      <w:r>
        <w:t>提供的安装、调试重要工序表</w:t>
      </w:r>
    </w:p>
    <w:tbl>
      <w:tblPr>
        <w:tblStyle w:val="3"/>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1800"/>
        <w:gridCol w:w="4435"/>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68" w:type="dxa"/>
            <w:vAlign w:val="center"/>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序号</w:t>
            </w:r>
          </w:p>
        </w:tc>
        <w:tc>
          <w:tcPr>
            <w:tcW w:w="1800" w:type="dxa"/>
            <w:vAlign w:val="center"/>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工序名称</w:t>
            </w:r>
          </w:p>
        </w:tc>
        <w:tc>
          <w:tcPr>
            <w:tcW w:w="4435"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工序主要内容</w:t>
            </w:r>
          </w:p>
        </w:tc>
        <w:tc>
          <w:tcPr>
            <w:tcW w:w="1313" w:type="dxa"/>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 w:type="dxa"/>
          </w:tcPr>
          <w:p>
            <w:pPr>
              <w:keepNext w:val="0"/>
              <w:keepLines w:val="0"/>
              <w:pageBreakBefore w:val="0"/>
              <w:widowControl w:val="0"/>
              <w:kinsoku/>
              <w:wordWrap/>
              <w:overflowPunct/>
              <w:topLinePunct w:val="0"/>
              <w:bidi w:val="0"/>
              <w:snapToGrid/>
              <w:spacing w:line="360" w:lineRule="auto"/>
              <w:ind w:firstLine="480" w:firstLineChars="200"/>
              <w:jc w:val="both"/>
              <w:rPr>
                <w:rFonts w:ascii="宋体" w:hAnsi="宋体"/>
                <w:snapToGrid w:val="0"/>
                <w:color w:val="000000"/>
                <w:kern w:val="0"/>
                <w:sz w:val="24"/>
              </w:rPr>
            </w:pPr>
            <w:r>
              <w:rPr>
                <w:rFonts w:hint="eastAsia" w:ascii="宋体" w:hAnsi="宋体"/>
                <w:snapToGrid w:val="0"/>
                <w:color w:val="000000"/>
                <w:kern w:val="0"/>
                <w:sz w:val="24"/>
              </w:rPr>
              <w:t>1</w:t>
            </w:r>
          </w:p>
        </w:tc>
        <w:tc>
          <w:tcPr>
            <w:tcW w:w="1800" w:type="dxa"/>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货物开箱检验</w:t>
            </w:r>
          </w:p>
        </w:tc>
        <w:tc>
          <w:tcPr>
            <w:tcW w:w="4435" w:type="dxa"/>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检验现场货物与装箱单是否相符</w:t>
            </w:r>
          </w:p>
        </w:tc>
        <w:tc>
          <w:tcPr>
            <w:tcW w:w="1313" w:type="dxa"/>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 w:type="dxa"/>
          </w:tcPr>
          <w:p>
            <w:pPr>
              <w:keepNext w:val="0"/>
              <w:keepLines w:val="0"/>
              <w:pageBreakBefore w:val="0"/>
              <w:widowControl w:val="0"/>
              <w:kinsoku/>
              <w:wordWrap/>
              <w:overflowPunct/>
              <w:topLinePunct w:val="0"/>
              <w:bidi w:val="0"/>
              <w:snapToGrid/>
              <w:spacing w:line="360" w:lineRule="auto"/>
              <w:ind w:firstLine="480" w:firstLineChars="200"/>
              <w:jc w:val="both"/>
              <w:rPr>
                <w:rFonts w:ascii="宋体" w:hAnsi="宋体"/>
                <w:snapToGrid w:val="0"/>
                <w:color w:val="000000"/>
                <w:kern w:val="0"/>
                <w:sz w:val="24"/>
              </w:rPr>
            </w:pPr>
            <w:r>
              <w:rPr>
                <w:rFonts w:ascii="宋体" w:hAnsi="宋体"/>
                <w:snapToGrid w:val="0"/>
                <w:color w:val="000000"/>
                <w:kern w:val="0"/>
                <w:sz w:val="24"/>
              </w:rPr>
              <w:t xml:space="preserve">2 </w:t>
            </w:r>
          </w:p>
        </w:tc>
        <w:tc>
          <w:tcPr>
            <w:tcW w:w="1800" w:type="dxa"/>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指导安装调试</w:t>
            </w:r>
          </w:p>
        </w:tc>
        <w:tc>
          <w:tcPr>
            <w:tcW w:w="4435"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按照调试大纲进行设备调试并培训用户调试人员</w:t>
            </w:r>
          </w:p>
        </w:tc>
        <w:tc>
          <w:tcPr>
            <w:tcW w:w="1313" w:type="dxa"/>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 w:type="dxa"/>
          </w:tcPr>
          <w:p>
            <w:pPr>
              <w:keepNext w:val="0"/>
              <w:keepLines w:val="0"/>
              <w:pageBreakBefore w:val="0"/>
              <w:widowControl w:val="0"/>
              <w:kinsoku/>
              <w:wordWrap/>
              <w:overflowPunct/>
              <w:topLinePunct w:val="0"/>
              <w:bidi w:val="0"/>
              <w:snapToGrid/>
              <w:spacing w:line="360" w:lineRule="auto"/>
              <w:ind w:firstLine="480" w:firstLineChars="200"/>
              <w:jc w:val="both"/>
              <w:rPr>
                <w:rFonts w:ascii="宋体" w:hAnsi="宋体"/>
                <w:snapToGrid w:val="0"/>
                <w:color w:val="000000"/>
                <w:kern w:val="0"/>
                <w:sz w:val="24"/>
              </w:rPr>
            </w:pPr>
            <w:r>
              <w:rPr>
                <w:rFonts w:ascii="宋体" w:hAnsi="宋体"/>
                <w:snapToGrid w:val="0"/>
                <w:color w:val="000000"/>
                <w:kern w:val="0"/>
                <w:sz w:val="24"/>
              </w:rPr>
              <w:t xml:space="preserve">3 </w:t>
            </w:r>
          </w:p>
        </w:tc>
        <w:tc>
          <w:tcPr>
            <w:tcW w:w="1800"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设备质量问题处理</w:t>
            </w:r>
          </w:p>
        </w:tc>
        <w:tc>
          <w:tcPr>
            <w:tcW w:w="4435"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如出现设备质量问题在不影响工期的情况下及时处理</w:t>
            </w:r>
          </w:p>
        </w:tc>
        <w:tc>
          <w:tcPr>
            <w:tcW w:w="1313" w:type="dxa"/>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 w:type="dxa"/>
          </w:tcPr>
          <w:p>
            <w:pPr>
              <w:keepNext w:val="0"/>
              <w:keepLines w:val="0"/>
              <w:pageBreakBefore w:val="0"/>
              <w:widowControl w:val="0"/>
              <w:kinsoku/>
              <w:wordWrap/>
              <w:overflowPunct/>
              <w:topLinePunct w:val="0"/>
              <w:bidi w:val="0"/>
              <w:snapToGrid/>
              <w:spacing w:line="360" w:lineRule="auto"/>
              <w:ind w:firstLine="480" w:firstLineChars="200"/>
              <w:jc w:val="both"/>
              <w:rPr>
                <w:rFonts w:ascii="宋体" w:hAnsi="宋体"/>
                <w:snapToGrid w:val="0"/>
                <w:color w:val="000000"/>
                <w:kern w:val="0"/>
                <w:sz w:val="24"/>
              </w:rPr>
            </w:pPr>
            <w:r>
              <w:rPr>
                <w:rFonts w:hint="eastAsia" w:ascii="宋体" w:hAnsi="宋体"/>
                <w:snapToGrid w:val="0"/>
                <w:color w:val="000000"/>
                <w:kern w:val="0"/>
                <w:sz w:val="24"/>
              </w:rPr>
              <w:t>4</w:t>
            </w:r>
          </w:p>
        </w:tc>
        <w:tc>
          <w:tcPr>
            <w:tcW w:w="1800"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参加试运和性能验收试验</w:t>
            </w:r>
          </w:p>
        </w:tc>
        <w:tc>
          <w:tcPr>
            <w:tcW w:w="4435"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参加用户组织的设备投产前验收和性能验收</w:t>
            </w:r>
          </w:p>
        </w:tc>
        <w:tc>
          <w:tcPr>
            <w:tcW w:w="1313" w:type="dxa"/>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p>
        </w:tc>
      </w:tr>
    </w:tbl>
    <w:p>
      <w:pPr>
        <w:keepNext w:val="0"/>
        <w:keepLines w:val="0"/>
        <w:pageBreakBefore w:val="0"/>
        <w:widowControl w:val="0"/>
        <w:kinsoku/>
        <w:wordWrap/>
        <w:overflowPunct/>
        <w:topLinePunct w:val="0"/>
        <w:bidi w:val="0"/>
        <w:snapToGrid/>
        <w:spacing w:line="360" w:lineRule="auto"/>
        <w:ind w:firstLine="420" w:firstLineChars="200"/>
      </w:pPr>
    </w:p>
    <w:p>
      <w:pPr>
        <w:keepNext w:val="0"/>
        <w:keepLines w:val="0"/>
        <w:pageBreakBefore w:val="0"/>
        <w:widowControl w:val="0"/>
        <w:kinsoku/>
        <w:wordWrap/>
        <w:overflowPunct/>
        <w:topLinePunct w:val="0"/>
        <w:bidi w:val="0"/>
        <w:snapToGrid/>
        <w:spacing w:line="360" w:lineRule="auto"/>
        <w:ind w:firstLine="420" w:firstLineChars="200"/>
        <w:rPr>
          <w:rFonts w:hint="eastAsia" w:ascii="宋体" w:hAnsi="宋体"/>
          <w:snapToGrid w:val="0"/>
          <w:color w:val="000000"/>
          <w:kern w:val="0"/>
          <w:sz w:val="21"/>
          <w:szCs w:val="21"/>
        </w:rPr>
      </w:pPr>
      <w:r>
        <w:rPr>
          <w:rFonts w:hint="eastAsia" w:ascii="宋体" w:hAnsi="宋体"/>
          <w:snapToGrid w:val="0"/>
          <w:color w:val="000000"/>
          <w:kern w:val="0"/>
          <w:sz w:val="21"/>
          <w:szCs w:val="21"/>
        </w:rPr>
        <w:t>注：此表内容在合同执行期间提供。</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rPr>
        <w:t>.3</w:t>
      </w:r>
      <w:r>
        <w:rPr>
          <w:rFonts w:hint="eastAsia"/>
          <w:b w:val="0"/>
          <w:bCs/>
          <w:sz w:val="24"/>
          <w:szCs w:val="24"/>
          <w:lang w:eastAsia="zh-CN"/>
        </w:rPr>
        <w:t>乙方</w:t>
      </w:r>
      <w:r>
        <w:rPr>
          <w:b w:val="0"/>
          <w:bCs/>
          <w:sz w:val="24"/>
          <w:szCs w:val="24"/>
        </w:rPr>
        <w:t>现场服务人员负责全权处理现场出现的一切技术和商务问题。如现场发生质量问题，</w:t>
      </w:r>
      <w:r>
        <w:rPr>
          <w:rFonts w:hint="eastAsia"/>
          <w:b w:val="0"/>
          <w:bCs/>
          <w:sz w:val="24"/>
          <w:szCs w:val="24"/>
          <w:lang w:eastAsia="zh-CN"/>
        </w:rPr>
        <w:t>乙方</w:t>
      </w:r>
      <w:r>
        <w:rPr>
          <w:b w:val="0"/>
          <w:bCs/>
          <w:sz w:val="24"/>
          <w:szCs w:val="24"/>
        </w:rPr>
        <w:t>现场人员要在</w:t>
      </w:r>
      <w:r>
        <w:rPr>
          <w:rFonts w:hint="eastAsia"/>
          <w:b w:val="0"/>
          <w:bCs/>
          <w:sz w:val="24"/>
          <w:szCs w:val="24"/>
          <w:lang w:eastAsia="zh-CN"/>
        </w:rPr>
        <w:t>甲方</w:t>
      </w:r>
      <w:r>
        <w:rPr>
          <w:b w:val="0"/>
          <w:bCs/>
          <w:sz w:val="24"/>
          <w:szCs w:val="24"/>
        </w:rPr>
        <w:t>规定的时间内处理解决。如</w:t>
      </w:r>
      <w:r>
        <w:rPr>
          <w:rFonts w:hint="eastAsia"/>
          <w:b w:val="0"/>
          <w:bCs/>
          <w:sz w:val="24"/>
          <w:szCs w:val="24"/>
          <w:lang w:eastAsia="zh-CN"/>
        </w:rPr>
        <w:t>乙方</w:t>
      </w:r>
      <w:r>
        <w:rPr>
          <w:b w:val="0"/>
          <w:bCs/>
          <w:sz w:val="24"/>
          <w:szCs w:val="24"/>
        </w:rPr>
        <w:t>委托</w:t>
      </w:r>
      <w:r>
        <w:rPr>
          <w:rFonts w:hint="eastAsia"/>
          <w:b w:val="0"/>
          <w:bCs/>
          <w:sz w:val="24"/>
          <w:szCs w:val="24"/>
          <w:lang w:eastAsia="zh-CN"/>
        </w:rPr>
        <w:t>甲方</w:t>
      </w:r>
      <w:r>
        <w:rPr>
          <w:b w:val="0"/>
          <w:bCs/>
          <w:sz w:val="24"/>
          <w:szCs w:val="24"/>
        </w:rPr>
        <w:t>进行处理，</w:t>
      </w:r>
      <w:r>
        <w:rPr>
          <w:rFonts w:hint="eastAsia"/>
          <w:b w:val="0"/>
          <w:bCs/>
          <w:sz w:val="24"/>
          <w:szCs w:val="24"/>
          <w:lang w:eastAsia="zh-CN"/>
        </w:rPr>
        <w:t>乙方</w:t>
      </w:r>
      <w:r>
        <w:rPr>
          <w:b w:val="0"/>
          <w:bCs/>
          <w:sz w:val="24"/>
          <w:szCs w:val="24"/>
        </w:rPr>
        <w:t>现场服务人员要出委托书并承担相应的经济责任。</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rPr>
        <w:t>.4</w:t>
      </w:r>
      <w:r>
        <w:rPr>
          <w:rFonts w:hint="eastAsia"/>
          <w:b w:val="0"/>
          <w:bCs/>
          <w:sz w:val="24"/>
          <w:szCs w:val="24"/>
          <w:lang w:eastAsia="zh-CN"/>
        </w:rPr>
        <w:t>乙方</w:t>
      </w:r>
      <w:r>
        <w:rPr>
          <w:b w:val="0"/>
          <w:bCs/>
          <w:sz w:val="24"/>
          <w:szCs w:val="24"/>
        </w:rPr>
        <w:t>对其现场服务人员的一切行为负全部责任；</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7</w:t>
      </w:r>
      <w:r>
        <w:rPr>
          <w:rFonts w:hint="eastAsia"/>
          <w:b w:val="0"/>
          <w:bCs/>
          <w:sz w:val="24"/>
          <w:szCs w:val="24"/>
        </w:rPr>
        <w:t>.5</w:t>
      </w:r>
      <w:r>
        <w:rPr>
          <w:rFonts w:hint="eastAsia"/>
          <w:b w:val="0"/>
          <w:bCs/>
          <w:sz w:val="24"/>
          <w:szCs w:val="24"/>
          <w:lang w:eastAsia="zh-CN"/>
        </w:rPr>
        <w:t>乙方</w:t>
      </w:r>
      <w:r>
        <w:rPr>
          <w:b w:val="0"/>
          <w:bCs/>
          <w:sz w:val="24"/>
          <w:szCs w:val="24"/>
        </w:rPr>
        <w:t>现场服务人员的正常来去和更换事先与</w:t>
      </w:r>
      <w:r>
        <w:rPr>
          <w:rFonts w:hint="eastAsia"/>
          <w:b w:val="0"/>
          <w:bCs/>
          <w:sz w:val="24"/>
          <w:szCs w:val="24"/>
          <w:lang w:eastAsia="zh-CN"/>
        </w:rPr>
        <w:t>甲方</w:t>
      </w:r>
      <w:r>
        <w:rPr>
          <w:b w:val="0"/>
          <w:bCs/>
          <w:sz w:val="24"/>
          <w:szCs w:val="24"/>
        </w:rPr>
        <w:t>协商。</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rPr>
        <w:t>1.</w:t>
      </w:r>
      <w:r>
        <w:rPr>
          <w:rFonts w:hint="eastAsia"/>
          <w:b w:val="0"/>
          <w:bCs/>
          <w:sz w:val="24"/>
          <w:szCs w:val="24"/>
          <w:lang w:val="en-US" w:eastAsia="zh-CN"/>
        </w:rPr>
        <w:t>8</w:t>
      </w:r>
      <w:r>
        <w:rPr>
          <w:rFonts w:hint="eastAsia"/>
          <w:b w:val="0"/>
          <w:bCs/>
          <w:sz w:val="24"/>
          <w:szCs w:val="24"/>
          <w:lang w:eastAsia="zh-CN"/>
        </w:rPr>
        <w:t>甲方</w:t>
      </w:r>
      <w:r>
        <w:rPr>
          <w:b w:val="0"/>
          <w:bCs/>
          <w:sz w:val="24"/>
          <w:szCs w:val="24"/>
        </w:rPr>
        <w:t>的义务</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eastAsia="zh-CN"/>
        </w:rPr>
        <w:t>甲方</w:t>
      </w:r>
      <w:r>
        <w:rPr>
          <w:b w:val="0"/>
          <w:bCs/>
          <w:sz w:val="24"/>
          <w:szCs w:val="24"/>
        </w:rPr>
        <w:t>要配合</w:t>
      </w:r>
      <w:r>
        <w:rPr>
          <w:rFonts w:hint="eastAsia"/>
          <w:b w:val="0"/>
          <w:bCs/>
          <w:sz w:val="24"/>
          <w:szCs w:val="24"/>
          <w:lang w:eastAsia="zh-CN"/>
        </w:rPr>
        <w:t>乙方</w:t>
      </w:r>
      <w:r>
        <w:rPr>
          <w:b w:val="0"/>
          <w:bCs/>
          <w:sz w:val="24"/>
          <w:szCs w:val="24"/>
        </w:rPr>
        <w:t>现场服务人员的工作，并在生活、交通和通讯上提</w:t>
      </w:r>
      <w:r>
        <w:rPr>
          <w:rFonts w:hint="eastAsia"/>
          <w:b w:val="0"/>
          <w:bCs/>
          <w:sz w:val="24"/>
          <w:szCs w:val="24"/>
        </w:rPr>
        <w:t>供</w:t>
      </w:r>
      <w:r>
        <w:rPr>
          <w:b w:val="0"/>
          <w:bCs/>
          <w:sz w:val="24"/>
          <w:szCs w:val="24"/>
        </w:rPr>
        <w:t>方便。</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bookmarkStart w:id="47" w:name="_Toc306284692"/>
      <w:r>
        <w:rPr>
          <w:rFonts w:hint="eastAsia"/>
          <w:b w:val="0"/>
          <w:bCs/>
          <w:sz w:val="24"/>
          <w:szCs w:val="24"/>
          <w:lang w:val="en-US" w:eastAsia="zh-CN"/>
        </w:rPr>
        <w:t>2</w:t>
      </w:r>
      <w:r>
        <w:rPr>
          <w:rFonts w:hint="eastAsia"/>
          <w:b w:val="0"/>
          <w:bCs/>
          <w:sz w:val="24"/>
          <w:szCs w:val="24"/>
        </w:rPr>
        <w:t>.</w:t>
      </w:r>
      <w:r>
        <w:rPr>
          <w:rFonts w:hint="eastAsia"/>
          <w:b w:val="0"/>
          <w:bCs/>
          <w:sz w:val="24"/>
          <w:szCs w:val="24"/>
          <w:lang w:val="en-US" w:eastAsia="zh-CN"/>
        </w:rPr>
        <w:t>1</w:t>
      </w:r>
      <w:r>
        <w:rPr>
          <w:b w:val="0"/>
          <w:sz w:val="24"/>
          <w:szCs w:val="24"/>
        </w:rPr>
        <w:t>.</w:t>
      </w:r>
      <w:r>
        <w:rPr>
          <w:rFonts w:ascii="Calibri" w:hAnsi="Calibri"/>
          <w:b w:val="0"/>
          <w:sz w:val="24"/>
          <w:szCs w:val="24"/>
        </w:rPr>
        <w:t>培训</w:t>
      </w:r>
      <w:bookmarkEnd w:id="47"/>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val="en-US" w:eastAsia="zh-CN"/>
        </w:rPr>
        <w:t>2</w:t>
      </w:r>
      <w:r>
        <w:rPr>
          <w:rFonts w:hint="eastAsia"/>
          <w:b w:val="0"/>
          <w:bCs/>
          <w:sz w:val="24"/>
          <w:szCs w:val="24"/>
        </w:rPr>
        <w:t>.</w:t>
      </w:r>
      <w:r>
        <w:rPr>
          <w:rFonts w:hint="eastAsia"/>
          <w:b w:val="0"/>
          <w:bCs/>
          <w:sz w:val="24"/>
          <w:szCs w:val="24"/>
          <w:lang w:val="en-US" w:eastAsia="zh-CN"/>
        </w:rPr>
        <w:t>1</w:t>
      </w:r>
      <w:r>
        <w:rPr>
          <w:rFonts w:hint="eastAsia"/>
          <w:b w:val="0"/>
          <w:bCs/>
          <w:sz w:val="24"/>
          <w:szCs w:val="24"/>
        </w:rPr>
        <w:t>.1</w:t>
      </w:r>
      <w:r>
        <w:rPr>
          <w:b w:val="0"/>
          <w:bCs/>
          <w:sz w:val="24"/>
          <w:szCs w:val="24"/>
        </w:rPr>
        <w:t>为使合同设备能正常安装、调试、运行、维护及检修，</w:t>
      </w:r>
      <w:r>
        <w:rPr>
          <w:rFonts w:hint="eastAsia"/>
          <w:b w:val="0"/>
          <w:bCs/>
          <w:sz w:val="24"/>
          <w:szCs w:val="24"/>
          <w:lang w:eastAsia="zh-CN"/>
        </w:rPr>
        <w:t>乙方</w:t>
      </w:r>
      <w:r>
        <w:rPr>
          <w:b w:val="0"/>
          <w:bCs/>
          <w:sz w:val="24"/>
          <w:szCs w:val="24"/>
        </w:rPr>
        <w:t>有责任提供相应的技术培训。培训内容和时间与工程进度相一致。</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val="en-US" w:eastAsia="zh-CN"/>
        </w:rPr>
        <w:t>2</w:t>
      </w:r>
      <w:r>
        <w:rPr>
          <w:rFonts w:hint="eastAsia"/>
          <w:b w:val="0"/>
          <w:bCs/>
          <w:sz w:val="24"/>
          <w:szCs w:val="24"/>
        </w:rPr>
        <w:t>.</w:t>
      </w:r>
      <w:r>
        <w:rPr>
          <w:rFonts w:hint="eastAsia"/>
          <w:b w:val="0"/>
          <w:bCs/>
          <w:sz w:val="24"/>
          <w:szCs w:val="24"/>
          <w:lang w:val="en-US" w:eastAsia="zh-CN"/>
        </w:rPr>
        <w:t>1.</w:t>
      </w:r>
      <w:r>
        <w:rPr>
          <w:rFonts w:hint="eastAsia"/>
          <w:b w:val="0"/>
          <w:bCs/>
          <w:sz w:val="24"/>
          <w:szCs w:val="24"/>
        </w:rPr>
        <w:t>2</w:t>
      </w:r>
      <w:r>
        <w:rPr>
          <w:b w:val="0"/>
          <w:bCs/>
          <w:sz w:val="24"/>
          <w:szCs w:val="24"/>
        </w:rPr>
        <w:t>培训计划和内容由</w:t>
      </w:r>
      <w:r>
        <w:rPr>
          <w:rFonts w:hint="eastAsia"/>
          <w:b w:val="0"/>
          <w:bCs/>
          <w:sz w:val="24"/>
          <w:szCs w:val="24"/>
          <w:lang w:eastAsia="zh-CN"/>
        </w:rPr>
        <w:t>乙方</w:t>
      </w:r>
      <w:r>
        <w:rPr>
          <w:b w:val="0"/>
          <w:bCs/>
          <w:sz w:val="24"/>
          <w:szCs w:val="24"/>
        </w:rPr>
        <w:t>在投标文件中</w:t>
      </w:r>
      <w:r>
        <w:rPr>
          <w:rFonts w:hint="eastAsia"/>
          <w:b w:val="0"/>
          <w:bCs/>
          <w:sz w:val="24"/>
          <w:szCs w:val="24"/>
        </w:rPr>
        <w:t>补充</w:t>
      </w:r>
    </w:p>
    <w:tbl>
      <w:tblPr>
        <w:tblStyle w:val="3"/>
        <w:tblW w:w="8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022"/>
        <w:gridCol w:w="2076"/>
        <w:gridCol w:w="1568"/>
        <w:gridCol w:w="1227"/>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6" w:type="dxa"/>
            <w:vMerge w:val="restart"/>
            <w:vAlign w:val="center"/>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序号</w:t>
            </w:r>
          </w:p>
        </w:tc>
        <w:tc>
          <w:tcPr>
            <w:tcW w:w="2022" w:type="dxa"/>
            <w:vMerge w:val="restart"/>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培训内容</w:t>
            </w:r>
          </w:p>
        </w:tc>
        <w:tc>
          <w:tcPr>
            <w:tcW w:w="2076" w:type="dxa"/>
            <w:vMerge w:val="restart"/>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计划人天数</w:t>
            </w:r>
          </w:p>
        </w:tc>
        <w:tc>
          <w:tcPr>
            <w:tcW w:w="2795" w:type="dxa"/>
            <w:gridSpan w:val="2"/>
            <w:vAlign w:val="center"/>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培训教师构成</w:t>
            </w:r>
          </w:p>
        </w:tc>
        <w:tc>
          <w:tcPr>
            <w:tcW w:w="1173" w:type="dxa"/>
            <w:vMerge w:val="restart"/>
            <w:vAlign w:val="center"/>
          </w:tcPr>
          <w:p>
            <w:pPr>
              <w:keepNext w:val="0"/>
              <w:keepLines w:val="0"/>
              <w:pageBreakBefore w:val="0"/>
              <w:widowControl w:val="0"/>
              <w:kinsoku/>
              <w:wordWrap/>
              <w:overflowPunct/>
              <w:topLinePunct w:val="0"/>
              <w:bidi w:val="0"/>
              <w:snapToGrid/>
              <w:spacing w:line="360" w:lineRule="auto"/>
              <w:jc w:val="both"/>
              <w:rPr>
                <w:rFonts w:ascii="宋体" w:hAnsi="宋体"/>
                <w:snapToGrid w:val="0"/>
                <w:color w:val="000000"/>
                <w:kern w:val="0"/>
                <w:sz w:val="24"/>
              </w:rPr>
            </w:pPr>
            <w:r>
              <w:rPr>
                <w:rFonts w:hint="eastAsia" w:ascii="宋体" w:hAnsi="宋体"/>
                <w:snapToGrid w:val="0"/>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6" w:type="dxa"/>
            <w:vMerge w:val="continue"/>
            <w:vAlign w:val="center"/>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c>
          <w:tcPr>
            <w:tcW w:w="2022" w:type="dxa"/>
            <w:vMerge w:val="continue"/>
            <w:vAlign w:val="center"/>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c>
          <w:tcPr>
            <w:tcW w:w="2076" w:type="dxa"/>
            <w:vMerge w:val="continue"/>
            <w:vAlign w:val="center"/>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c>
          <w:tcPr>
            <w:tcW w:w="1568" w:type="dxa"/>
            <w:vAlign w:val="bottom"/>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职称</w:t>
            </w:r>
          </w:p>
        </w:tc>
        <w:tc>
          <w:tcPr>
            <w:tcW w:w="1227" w:type="dxa"/>
            <w:vAlign w:val="bottom"/>
          </w:tcPr>
          <w:p>
            <w:pPr>
              <w:keepNext w:val="0"/>
              <w:keepLines w:val="0"/>
              <w:pageBreakBefore w:val="0"/>
              <w:widowControl w:val="0"/>
              <w:kinsoku/>
              <w:wordWrap/>
              <w:overflowPunct/>
              <w:topLinePunct w:val="0"/>
              <w:bidi w:val="0"/>
              <w:snapToGrid/>
              <w:spacing w:line="360" w:lineRule="auto"/>
              <w:ind w:firstLine="480" w:firstLineChars="200"/>
              <w:jc w:val="center"/>
              <w:rPr>
                <w:rFonts w:ascii="宋体" w:hAnsi="宋体"/>
                <w:snapToGrid w:val="0"/>
                <w:color w:val="000000"/>
                <w:kern w:val="0"/>
                <w:sz w:val="24"/>
              </w:rPr>
            </w:pPr>
            <w:r>
              <w:rPr>
                <w:rFonts w:hint="eastAsia" w:ascii="宋体" w:hAnsi="宋体"/>
                <w:snapToGrid w:val="0"/>
                <w:color w:val="000000"/>
                <w:kern w:val="0"/>
                <w:sz w:val="24"/>
              </w:rPr>
              <w:t>人数</w:t>
            </w:r>
          </w:p>
        </w:tc>
        <w:tc>
          <w:tcPr>
            <w:tcW w:w="1173" w:type="dxa"/>
            <w:vMerge w:val="continue"/>
            <w:vAlign w:val="center"/>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1</w:t>
            </w:r>
          </w:p>
        </w:tc>
        <w:tc>
          <w:tcPr>
            <w:tcW w:w="2022" w:type="dxa"/>
          </w:tcPr>
          <w:p>
            <w:pPr>
              <w:pStyle w:val="6"/>
              <w:keepNext w:val="0"/>
              <w:keepLines w:val="0"/>
              <w:pageBreakBefore w:val="0"/>
              <w:widowControl w:val="0"/>
              <w:kinsoku/>
              <w:wordWrap/>
              <w:overflowPunct/>
              <w:topLinePunct w:val="0"/>
              <w:bidi w:val="0"/>
              <w:snapToGrid/>
              <w:spacing w:line="360" w:lineRule="auto"/>
              <w:jc w:val="both"/>
              <w:rPr>
                <w:rFonts w:hAnsi="宋体"/>
                <w:snapToGrid w:val="0"/>
              </w:rPr>
            </w:pPr>
            <w:r>
              <w:rPr>
                <w:rFonts w:hint="eastAsia"/>
              </w:rPr>
              <w:t>风机保护系统</w:t>
            </w:r>
            <w:r>
              <w:rPr>
                <w:rFonts w:hint="eastAsia" w:hAnsi="宋体"/>
                <w:snapToGrid w:val="0"/>
              </w:rPr>
              <w:t>功能培训</w:t>
            </w:r>
          </w:p>
        </w:tc>
        <w:tc>
          <w:tcPr>
            <w:tcW w:w="2076"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ascii="宋体" w:hAnsi="宋体"/>
                <w:snapToGrid w:val="0"/>
                <w:color w:val="000000"/>
                <w:kern w:val="0"/>
                <w:sz w:val="24"/>
              </w:rPr>
              <w:t>4</w:t>
            </w:r>
            <w:r>
              <w:rPr>
                <w:rFonts w:hint="eastAsia" w:ascii="宋体" w:hAnsi="宋体"/>
                <w:snapToGrid w:val="0"/>
                <w:color w:val="000000"/>
                <w:kern w:val="0"/>
                <w:sz w:val="24"/>
              </w:rPr>
              <w:t>人</w:t>
            </w:r>
            <w:r>
              <w:rPr>
                <w:rFonts w:ascii="宋体" w:hAnsi="宋体"/>
                <w:snapToGrid w:val="0"/>
                <w:color w:val="000000"/>
                <w:kern w:val="0"/>
                <w:sz w:val="24"/>
              </w:rPr>
              <w:t>/5</w:t>
            </w:r>
            <w:r>
              <w:rPr>
                <w:rFonts w:hint="eastAsia" w:ascii="宋体" w:hAnsi="宋体"/>
                <w:snapToGrid w:val="0"/>
                <w:color w:val="000000"/>
                <w:kern w:val="0"/>
                <w:sz w:val="24"/>
              </w:rPr>
              <w:t>个工作日</w:t>
            </w:r>
          </w:p>
        </w:tc>
        <w:tc>
          <w:tcPr>
            <w:tcW w:w="1568"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工程师</w:t>
            </w:r>
          </w:p>
        </w:tc>
        <w:tc>
          <w:tcPr>
            <w:tcW w:w="1227" w:type="dxa"/>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eastAsiaTheme="minorEastAsia"/>
                <w:snapToGrid w:val="0"/>
                <w:color w:val="000000"/>
                <w:kern w:val="0"/>
                <w:sz w:val="24"/>
                <w:lang w:eastAsia="zh-CN"/>
              </w:rPr>
            </w:pPr>
            <w:r>
              <w:rPr>
                <w:rFonts w:hint="eastAsia" w:ascii="宋体" w:hAnsi="宋体"/>
                <w:snapToGrid w:val="0"/>
                <w:color w:val="000000"/>
                <w:kern w:val="0"/>
                <w:sz w:val="24"/>
                <w:lang w:val="en-US" w:eastAsia="zh-CN"/>
              </w:rPr>
              <w:t>3</w:t>
            </w:r>
          </w:p>
        </w:tc>
        <w:tc>
          <w:tcPr>
            <w:tcW w:w="1173"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2</w:t>
            </w:r>
          </w:p>
        </w:tc>
        <w:tc>
          <w:tcPr>
            <w:tcW w:w="2022"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单装置调试</w:t>
            </w:r>
          </w:p>
        </w:tc>
        <w:tc>
          <w:tcPr>
            <w:tcW w:w="2076"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ascii="宋体" w:hAnsi="宋体"/>
                <w:snapToGrid w:val="0"/>
                <w:color w:val="000000"/>
                <w:kern w:val="0"/>
                <w:sz w:val="24"/>
              </w:rPr>
              <w:t>4</w:t>
            </w:r>
            <w:r>
              <w:rPr>
                <w:rFonts w:hint="eastAsia" w:ascii="宋体" w:hAnsi="宋体"/>
                <w:snapToGrid w:val="0"/>
                <w:color w:val="000000"/>
                <w:kern w:val="0"/>
                <w:sz w:val="24"/>
              </w:rPr>
              <w:t>人</w:t>
            </w:r>
            <w:r>
              <w:rPr>
                <w:rFonts w:ascii="宋体" w:hAnsi="宋体"/>
                <w:snapToGrid w:val="0"/>
                <w:color w:val="000000"/>
                <w:kern w:val="0"/>
                <w:sz w:val="24"/>
              </w:rPr>
              <w:t>/2</w:t>
            </w:r>
            <w:r>
              <w:rPr>
                <w:rFonts w:hint="eastAsia" w:ascii="宋体" w:hAnsi="宋体"/>
                <w:snapToGrid w:val="0"/>
                <w:color w:val="000000"/>
                <w:kern w:val="0"/>
                <w:sz w:val="24"/>
              </w:rPr>
              <w:t>天</w:t>
            </w:r>
          </w:p>
        </w:tc>
        <w:tc>
          <w:tcPr>
            <w:tcW w:w="1568"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工程师</w:t>
            </w:r>
          </w:p>
        </w:tc>
        <w:tc>
          <w:tcPr>
            <w:tcW w:w="1227" w:type="dxa"/>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eastAsiaTheme="minorEastAsia"/>
                <w:snapToGrid w:val="0"/>
                <w:color w:val="000000"/>
                <w:kern w:val="0"/>
                <w:sz w:val="24"/>
                <w:lang w:eastAsia="zh-CN"/>
              </w:rPr>
            </w:pPr>
            <w:r>
              <w:rPr>
                <w:rFonts w:hint="eastAsia" w:ascii="宋体" w:hAnsi="宋体"/>
                <w:snapToGrid w:val="0"/>
                <w:color w:val="000000"/>
                <w:kern w:val="0"/>
                <w:sz w:val="24"/>
                <w:lang w:val="en-US" w:eastAsia="zh-CN"/>
              </w:rPr>
              <w:t>4</w:t>
            </w:r>
          </w:p>
        </w:tc>
        <w:tc>
          <w:tcPr>
            <w:tcW w:w="1173"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hint="eastAsia" w:ascii="宋体" w:hAnsi="宋体"/>
                <w:snapToGrid w:val="0"/>
                <w:color w:val="000000"/>
                <w:kern w:val="0"/>
                <w:sz w:val="24"/>
              </w:rPr>
              <w:t>3</w:t>
            </w:r>
          </w:p>
        </w:tc>
        <w:tc>
          <w:tcPr>
            <w:tcW w:w="2022" w:type="dxa"/>
          </w:tcPr>
          <w:p>
            <w:pPr>
              <w:pStyle w:val="6"/>
              <w:keepNext w:val="0"/>
              <w:keepLines w:val="0"/>
              <w:pageBreakBefore w:val="0"/>
              <w:widowControl w:val="0"/>
              <w:kinsoku/>
              <w:wordWrap/>
              <w:overflowPunct/>
              <w:topLinePunct w:val="0"/>
              <w:bidi w:val="0"/>
              <w:snapToGrid/>
              <w:spacing w:line="360" w:lineRule="auto"/>
              <w:rPr>
                <w:rFonts w:hAnsi="宋体"/>
                <w:snapToGrid w:val="0"/>
              </w:rPr>
            </w:pPr>
            <w:r>
              <w:rPr>
                <w:rFonts w:hint="eastAsia" w:hAnsi="宋体"/>
                <w:snapToGrid w:val="0"/>
              </w:rPr>
              <w:t>维护培训</w:t>
            </w:r>
          </w:p>
        </w:tc>
        <w:tc>
          <w:tcPr>
            <w:tcW w:w="2076"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r>
              <w:rPr>
                <w:rFonts w:ascii="宋体" w:hAnsi="宋体"/>
                <w:snapToGrid w:val="0"/>
                <w:color w:val="000000"/>
                <w:kern w:val="0"/>
                <w:sz w:val="24"/>
              </w:rPr>
              <w:t>4</w:t>
            </w:r>
            <w:r>
              <w:rPr>
                <w:rFonts w:hint="eastAsia" w:ascii="宋体" w:hAnsi="宋体"/>
                <w:snapToGrid w:val="0"/>
                <w:color w:val="000000"/>
                <w:kern w:val="0"/>
                <w:sz w:val="24"/>
              </w:rPr>
              <w:t>人</w:t>
            </w:r>
            <w:r>
              <w:rPr>
                <w:rFonts w:ascii="宋体" w:hAnsi="宋体"/>
                <w:snapToGrid w:val="0"/>
                <w:color w:val="000000"/>
                <w:kern w:val="0"/>
                <w:sz w:val="24"/>
              </w:rPr>
              <w:t>/3</w:t>
            </w:r>
            <w:r>
              <w:rPr>
                <w:rFonts w:hint="eastAsia" w:ascii="宋体" w:hAnsi="宋体"/>
                <w:snapToGrid w:val="0"/>
                <w:color w:val="000000"/>
                <w:kern w:val="0"/>
                <w:sz w:val="24"/>
              </w:rPr>
              <w:t>天</w:t>
            </w:r>
          </w:p>
        </w:tc>
        <w:tc>
          <w:tcPr>
            <w:tcW w:w="1568" w:type="dxa"/>
          </w:tcPr>
          <w:p>
            <w:pPr>
              <w:keepNext w:val="0"/>
              <w:keepLines w:val="0"/>
              <w:pageBreakBefore w:val="0"/>
              <w:widowControl w:val="0"/>
              <w:kinsoku/>
              <w:wordWrap/>
              <w:overflowPunct/>
              <w:topLinePunct w:val="0"/>
              <w:bidi w:val="0"/>
              <w:snapToGrid/>
              <w:spacing w:line="360" w:lineRule="auto"/>
              <w:rPr>
                <w:rFonts w:ascii="宋体" w:hAnsi="宋体"/>
                <w:snapToGrid w:val="0"/>
                <w:color w:val="000000"/>
                <w:kern w:val="0"/>
                <w:sz w:val="24"/>
              </w:rPr>
            </w:pPr>
            <w:r>
              <w:rPr>
                <w:rFonts w:hint="eastAsia" w:ascii="宋体" w:hAnsi="宋体"/>
                <w:snapToGrid w:val="0"/>
                <w:color w:val="000000"/>
                <w:kern w:val="0"/>
                <w:sz w:val="24"/>
              </w:rPr>
              <w:t>工程师</w:t>
            </w:r>
          </w:p>
        </w:tc>
        <w:tc>
          <w:tcPr>
            <w:tcW w:w="1227" w:type="dxa"/>
          </w:tcPr>
          <w:p>
            <w:pPr>
              <w:keepNext w:val="0"/>
              <w:keepLines w:val="0"/>
              <w:pageBreakBefore w:val="0"/>
              <w:widowControl w:val="0"/>
              <w:kinsoku/>
              <w:wordWrap/>
              <w:overflowPunct/>
              <w:topLinePunct w:val="0"/>
              <w:bidi w:val="0"/>
              <w:snapToGrid/>
              <w:spacing w:line="360" w:lineRule="auto"/>
              <w:ind w:firstLine="480" w:firstLineChars="200"/>
              <w:jc w:val="center"/>
              <w:rPr>
                <w:rFonts w:hint="eastAsia" w:ascii="宋体" w:hAnsi="宋体" w:eastAsiaTheme="minorEastAsia"/>
                <w:snapToGrid w:val="0"/>
                <w:color w:val="000000"/>
                <w:kern w:val="0"/>
                <w:sz w:val="24"/>
                <w:lang w:eastAsia="zh-CN"/>
              </w:rPr>
            </w:pPr>
            <w:r>
              <w:rPr>
                <w:rFonts w:hint="eastAsia" w:ascii="宋体" w:hAnsi="宋体"/>
                <w:snapToGrid w:val="0"/>
                <w:color w:val="000000"/>
                <w:kern w:val="0"/>
                <w:sz w:val="24"/>
                <w:lang w:val="en-US" w:eastAsia="zh-CN"/>
              </w:rPr>
              <w:t>4</w:t>
            </w:r>
          </w:p>
        </w:tc>
        <w:tc>
          <w:tcPr>
            <w:tcW w:w="1173" w:type="dxa"/>
          </w:tcPr>
          <w:p>
            <w:pPr>
              <w:keepNext w:val="0"/>
              <w:keepLines w:val="0"/>
              <w:pageBreakBefore w:val="0"/>
              <w:widowControl w:val="0"/>
              <w:kinsoku/>
              <w:wordWrap/>
              <w:overflowPunct/>
              <w:topLinePunct w:val="0"/>
              <w:bidi w:val="0"/>
              <w:snapToGrid/>
              <w:spacing w:line="360" w:lineRule="auto"/>
              <w:ind w:firstLine="480" w:firstLineChars="200"/>
              <w:rPr>
                <w:rFonts w:ascii="宋体" w:hAnsi="宋体"/>
                <w:snapToGrid w:val="0"/>
                <w:color w:val="000000"/>
                <w:kern w:val="0"/>
                <w:sz w:val="24"/>
              </w:rPr>
            </w:pPr>
          </w:p>
        </w:tc>
      </w:tr>
    </w:tbl>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val="en-US" w:eastAsia="zh-CN"/>
        </w:rPr>
        <w:t>2</w:t>
      </w:r>
      <w:r>
        <w:rPr>
          <w:rFonts w:hint="eastAsia"/>
          <w:b w:val="0"/>
          <w:bCs/>
          <w:sz w:val="24"/>
          <w:szCs w:val="24"/>
        </w:rPr>
        <w:t>.</w:t>
      </w:r>
      <w:r>
        <w:rPr>
          <w:rFonts w:hint="eastAsia"/>
          <w:b w:val="0"/>
          <w:bCs/>
          <w:sz w:val="24"/>
          <w:szCs w:val="24"/>
          <w:lang w:val="en-US" w:eastAsia="zh-CN"/>
        </w:rPr>
        <w:t>1</w:t>
      </w:r>
      <w:r>
        <w:rPr>
          <w:rFonts w:hint="eastAsia"/>
          <w:b w:val="0"/>
          <w:bCs/>
          <w:sz w:val="24"/>
          <w:szCs w:val="24"/>
        </w:rPr>
        <w:t>.3</w:t>
      </w:r>
      <w:r>
        <w:rPr>
          <w:b w:val="0"/>
          <w:bCs/>
          <w:sz w:val="24"/>
          <w:szCs w:val="24"/>
        </w:rPr>
        <w:t>培训的时间、人数、地点等具体内容由双方商定。</w:t>
      </w:r>
    </w:p>
    <w:p>
      <w:pPr>
        <w:pStyle w:val="2"/>
        <w:keepNext w:val="0"/>
        <w:keepLines w:val="0"/>
        <w:pageBreakBefore w:val="0"/>
        <w:widowControl w:val="0"/>
        <w:kinsoku/>
        <w:wordWrap/>
        <w:overflowPunct/>
        <w:topLinePunct w:val="0"/>
        <w:bidi w:val="0"/>
        <w:snapToGrid/>
        <w:spacing w:before="0" w:after="0" w:line="360" w:lineRule="auto"/>
        <w:ind w:firstLine="480" w:firstLineChars="200"/>
        <w:rPr>
          <w:b w:val="0"/>
          <w:bCs/>
          <w:sz w:val="24"/>
          <w:szCs w:val="24"/>
        </w:rPr>
      </w:pPr>
      <w:r>
        <w:rPr>
          <w:rFonts w:hint="eastAsia"/>
          <w:b w:val="0"/>
          <w:bCs/>
          <w:sz w:val="24"/>
          <w:szCs w:val="24"/>
          <w:lang w:val="en-US" w:eastAsia="zh-CN"/>
        </w:rPr>
        <w:t>2</w:t>
      </w:r>
      <w:r>
        <w:rPr>
          <w:rFonts w:hint="eastAsia"/>
          <w:b w:val="0"/>
          <w:bCs/>
          <w:sz w:val="24"/>
          <w:szCs w:val="24"/>
        </w:rPr>
        <w:t>.</w:t>
      </w:r>
      <w:r>
        <w:rPr>
          <w:rFonts w:hint="eastAsia"/>
          <w:b w:val="0"/>
          <w:bCs/>
          <w:sz w:val="24"/>
          <w:szCs w:val="24"/>
          <w:lang w:val="en-US" w:eastAsia="zh-CN"/>
        </w:rPr>
        <w:t>1</w:t>
      </w:r>
      <w:r>
        <w:rPr>
          <w:rFonts w:hint="eastAsia"/>
          <w:b w:val="0"/>
          <w:bCs/>
          <w:sz w:val="24"/>
          <w:szCs w:val="24"/>
        </w:rPr>
        <w:t>.4</w:t>
      </w:r>
      <w:r>
        <w:rPr>
          <w:rFonts w:hint="eastAsia"/>
          <w:b w:val="0"/>
          <w:bCs/>
          <w:sz w:val="24"/>
          <w:szCs w:val="24"/>
          <w:lang w:eastAsia="zh-CN"/>
        </w:rPr>
        <w:t>乙方</w:t>
      </w:r>
      <w:r>
        <w:rPr>
          <w:b w:val="0"/>
          <w:bCs/>
          <w:sz w:val="24"/>
          <w:szCs w:val="24"/>
        </w:rPr>
        <w:t>为</w:t>
      </w:r>
      <w:r>
        <w:rPr>
          <w:rFonts w:hint="eastAsia"/>
          <w:b w:val="0"/>
          <w:bCs/>
          <w:sz w:val="24"/>
          <w:szCs w:val="24"/>
          <w:lang w:eastAsia="zh-CN"/>
        </w:rPr>
        <w:t>甲方</w:t>
      </w:r>
      <w:r>
        <w:rPr>
          <w:b w:val="0"/>
          <w:bCs/>
          <w:sz w:val="24"/>
          <w:szCs w:val="24"/>
        </w:rPr>
        <w:t>培训人员提供设备、场地、资料等培训条件，并提供食宿和交通方便。</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bookmarkStart w:id="48" w:name="_Toc306284693"/>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w:t>
      </w:r>
      <w:r>
        <w:rPr>
          <w:rFonts w:ascii="Calibri" w:hAnsi="Calibri"/>
          <w:b w:val="0"/>
          <w:sz w:val="24"/>
          <w:szCs w:val="24"/>
        </w:rPr>
        <w:t>设计联络</w:t>
      </w:r>
      <w:bookmarkEnd w:id="48"/>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.1</w:t>
      </w:r>
      <w:r>
        <w:rPr>
          <w:rFonts w:hint="eastAsia" w:ascii="Calibri" w:hAnsi="Calibri"/>
          <w:b w:val="0"/>
          <w:sz w:val="24"/>
          <w:szCs w:val="24"/>
        </w:rPr>
        <w:t>设计联络会的目的是保证合同设备和风</w:t>
      </w:r>
      <w:r>
        <w:rPr>
          <w:rFonts w:ascii="Calibri" w:hAnsi="Calibri"/>
          <w:b w:val="0"/>
          <w:sz w:val="24"/>
          <w:szCs w:val="24"/>
        </w:rPr>
        <w:t>场</w:t>
      </w:r>
      <w:r>
        <w:rPr>
          <w:rFonts w:hint="eastAsia" w:ascii="Calibri" w:hAnsi="Calibri"/>
          <w:b w:val="0"/>
          <w:sz w:val="24"/>
          <w:szCs w:val="24"/>
        </w:rPr>
        <w:t>的成功设计，及时协调和解决设计中的技术问题，协调</w:t>
      </w:r>
      <w:r>
        <w:rPr>
          <w:rFonts w:hint="eastAsia" w:ascii="Calibri" w:hAnsi="Calibri"/>
          <w:b w:val="0"/>
          <w:sz w:val="24"/>
          <w:szCs w:val="24"/>
          <w:lang w:eastAsia="zh-CN"/>
        </w:rPr>
        <w:t>甲方</w:t>
      </w:r>
      <w:r>
        <w:rPr>
          <w:rFonts w:hint="eastAsia" w:ascii="Calibri" w:hAnsi="Calibri"/>
          <w:b w:val="0"/>
          <w:sz w:val="24"/>
          <w:szCs w:val="24"/>
        </w:rPr>
        <w:t>和</w:t>
      </w:r>
      <w:r>
        <w:rPr>
          <w:rFonts w:hint="eastAsia" w:ascii="Calibri" w:hAnsi="Calibri"/>
          <w:b w:val="0"/>
          <w:sz w:val="24"/>
          <w:szCs w:val="24"/>
          <w:lang w:eastAsia="zh-CN"/>
        </w:rPr>
        <w:t>乙方</w:t>
      </w:r>
      <w:r>
        <w:rPr>
          <w:rFonts w:hint="eastAsia" w:ascii="Calibri" w:hAnsi="Calibri"/>
          <w:b w:val="0"/>
          <w:sz w:val="24"/>
          <w:szCs w:val="24"/>
        </w:rPr>
        <w:t>，以及各</w:t>
      </w:r>
      <w:r>
        <w:rPr>
          <w:rFonts w:hint="eastAsia" w:ascii="Calibri" w:hAnsi="Calibri"/>
          <w:b w:val="0"/>
          <w:sz w:val="24"/>
          <w:szCs w:val="24"/>
          <w:lang w:eastAsia="zh-CN"/>
        </w:rPr>
        <w:t>乙方</w:t>
      </w:r>
      <w:r>
        <w:rPr>
          <w:rFonts w:hint="eastAsia" w:ascii="Calibri" w:hAnsi="Calibri"/>
          <w:b w:val="0"/>
          <w:sz w:val="24"/>
          <w:szCs w:val="24"/>
        </w:rPr>
        <w:t>之间的接口问题。</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.2</w:t>
      </w:r>
      <w:r>
        <w:rPr>
          <w:rFonts w:hint="eastAsia" w:ascii="Calibri" w:hAnsi="Calibri"/>
          <w:b w:val="0"/>
          <w:sz w:val="24"/>
          <w:szCs w:val="24"/>
        </w:rPr>
        <w:t>设计联络会议题</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.2.</w:t>
      </w:r>
      <w:r>
        <w:rPr>
          <w:rFonts w:hint="eastAsia"/>
          <w:b w:val="0"/>
          <w:sz w:val="24"/>
          <w:szCs w:val="24"/>
        </w:rPr>
        <w:t>1</w:t>
      </w:r>
      <w:r>
        <w:rPr>
          <w:rFonts w:hint="eastAsia" w:ascii="Calibri" w:hAnsi="Calibri"/>
          <w:b w:val="0"/>
          <w:sz w:val="24"/>
          <w:szCs w:val="24"/>
        </w:rPr>
        <w:t>明确接口</w:t>
      </w:r>
      <w:r>
        <w:rPr>
          <w:rFonts w:ascii="Calibri" w:hAnsi="Calibri"/>
          <w:b w:val="0"/>
          <w:sz w:val="24"/>
          <w:szCs w:val="24"/>
        </w:rPr>
        <w:t>，</w:t>
      </w:r>
      <w:r>
        <w:rPr>
          <w:rFonts w:hint="eastAsia" w:ascii="Calibri" w:hAnsi="Calibri"/>
          <w:b w:val="0"/>
          <w:sz w:val="24"/>
          <w:szCs w:val="24"/>
        </w:rPr>
        <w:t>研究双方工作计划、配合资料的要求和进度。</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.2.2</w:t>
      </w:r>
      <w:r>
        <w:rPr>
          <w:rFonts w:hint="eastAsia" w:ascii="Calibri" w:hAnsi="Calibri"/>
          <w:b w:val="0"/>
          <w:sz w:val="24"/>
          <w:szCs w:val="24"/>
        </w:rPr>
        <w:t>检查设计接口</w:t>
      </w:r>
      <w:r>
        <w:rPr>
          <w:rFonts w:ascii="Calibri" w:hAnsi="Calibri"/>
          <w:b w:val="0"/>
          <w:sz w:val="24"/>
          <w:szCs w:val="24"/>
        </w:rPr>
        <w:t>，</w:t>
      </w:r>
      <w:r>
        <w:rPr>
          <w:rFonts w:hint="eastAsia" w:ascii="Calibri" w:hAnsi="Calibri"/>
          <w:b w:val="0"/>
          <w:sz w:val="24"/>
          <w:szCs w:val="24"/>
        </w:rPr>
        <w:t>供货接口衔接</w:t>
      </w:r>
      <w:r>
        <w:rPr>
          <w:rFonts w:ascii="Calibri" w:hAnsi="Calibri"/>
          <w:b w:val="0"/>
          <w:sz w:val="24"/>
          <w:szCs w:val="24"/>
        </w:rPr>
        <w:t>，</w:t>
      </w:r>
      <w:r>
        <w:rPr>
          <w:rFonts w:hint="eastAsia" w:ascii="Calibri" w:hAnsi="Calibri"/>
          <w:b w:val="0"/>
          <w:sz w:val="24"/>
          <w:szCs w:val="24"/>
        </w:rPr>
        <w:t>相互资料的提供和配合。</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ascii="Calibri" w:hAnsi="Calibri"/>
          <w:b w:val="0"/>
          <w:sz w:val="24"/>
          <w:szCs w:val="24"/>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.2.3</w:t>
      </w:r>
      <w:r>
        <w:rPr>
          <w:rFonts w:hint="eastAsia" w:ascii="Calibri" w:hAnsi="Calibri"/>
          <w:b w:val="0"/>
          <w:sz w:val="24"/>
          <w:szCs w:val="24"/>
        </w:rPr>
        <w:t>讨论施工、运输方案。</w:t>
      </w:r>
    </w:p>
    <w:p>
      <w:pPr>
        <w:keepNext w:val="0"/>
        <w:keepLines w:val="0"/>
        <w:pageBreakBefore w:val="0"/>
        <w:widowControl w:val="0"/>
        <w:kinsoku/>
        <w:wordWrap/>
        <w:overflowPunct/>
        <w:topLinePunct w:val="0"/>
        <w:bidi w:val="0"/>
        <w:snapToGrid/>
        <w:spacing w:line="360" w:lineRule="auto"/>
        <w:ind w:firstLine="480" w:firstLineChars="200"/>
        <w:rPr>
          <w:b/>
          <w:sz w:val="24"/>
          <w:szCs w:val="24"/>
        </w:rPr>
      </w:pPr>
      <w:r>
        <w:rPr>
          <w:rFonts w:hint="eastAsia"/>
          <w:sz w:val="24"/>
          <w:szCs w:val="24"/>
        </w:rPr>
        <w:t>解决详细设计遗留技术问题。讨论设备验收、考核相关事宜。</w:t>
      </w:r>
    </w:p>
    <w:p>
      <w:pPr>
        <w:pStyle w:val="2"/>
        <w:keepNext w:val="0"/>
        <w:keepLines w:val="0"/>
        <w:pageBreakBefore w:val="0"/>
        <w:widowControl w:val="0"/>
        <w:kinsoku/>
        <w:wordWrap/>
        <w:overflowPunct/>
        <w:topLinePunct w:val="0"/>
        <w:bidi w:val="0"/>
        <w:snapToGrid/>
        <w:spacing w:before="0" w:after="0" w:line="360" w:lineRule="auto"/>
        <w:ind w:firstLine="480" w:firstLineChars="200"/>
        <w:rPr>
          <w:rFonts w:hint="eastAsia" w:ascii="Calibri" w:hAnsi="Calibri"/>
          <w:b w:val="0"/>
          <w:sz w:val="24"/>
          <w:szCs w:val="24"/>
          <w:lang w:eastAsia="zh-CN"/>
        </w:rPr>
      </w:pPr>
      <w:r>
        <w:rPr>
          <w:rFonts w:hint="eastAsia"/>
          <w:b w:val="0"/>
          <w:bCs/>
          <w:sz w:val="24"/>
          <w:szCs w:val="24"/>
          <w:lang w:val="en-US" w:eastAsia="zh-CN"/>
        </w:rPr>
        <w:t>3</w:t>
      </w:r>
      <w:r>
        <w:rPr>
          <w:rFonts w:hint="eastAsia"/>
          <w:b w:val="0"/>
          <w:bCs/>
          <w:sz w:val="24"/>
          <w:szCs w:val="24"/>
        </w:rPr>
        <w:t>.</w:t>
      </w:r>
      <w:r>
        <w:rPr>
          <w:rFonts w:hint="eastAsia"/>
          <w:b w:val="0"/>
          <w:sz w:val="24"/>
          <w:szCs w:val="24"/>
          <w:lang w:val="en-US" w:eastAsia="zh-CN"/>
        </w:rPr>
        <w:t>1</w:t>
      </w:r>
      <w:r>
        <w:rPr>
          <w:b w:val="0"/>
          <w:sz w:val="24"/>
          <w:szCs w:val="24"/>
        </w:rPr>
        <w:t>.</w:t>
      </w:r>
      <w:r>
        <w:rPr>
          <w:rFonts w:hint="eastAsia"/>
          <w:b w:val="0"/>
          <w:sz w:val="24"/>
          <w:szCs w:val="24"/>
        </w:rPr>
        <w:t>3</w:t>
      </w:r>
      <w:r>
        <w:rPr>
          <w:rFonts w:ascii="Calibri" w:hAnsi="Calibri"/>
          <w:b w:val="0"/>
          <w:sz w:val="24"/>
          <w:szCs w:val="24"/>
        </w:rPr>
        <w:t>有关设计联络的计划、时间、地点和内容要求由双方商定。</w:t>
      </w:r>
    </w:p>
    <w:p>
      <w:pPr>
        <w:keepNext w:val="0"/>
        <w:keepLines w:val="0"/>
        <w:pageBreakBefore w:val="0"/>
        <w:widowControl w:val="0"/>
        <w:kinsoku/>
        <w:wordWrap/>
        <w:overflowPunct/>
        <w:topLinePunct w:val="0"/>
        <w:bidi w:val="0"/>
        <w:snapToGrid/>
        <w:spacing w:line="360" w:lineRule="auto"/>
        <w:ind w:firstLine="480" w:firstLineChars="200"/>
        <w:rPr>
          <w:b/>
          <w:sz w:val="24"/>
          <w:szCs w:val="24"/>
        </w:rPr>
      </w:pPr>
      <w:r>
        <w:rPr>
          <w:sz w:val="24"/>
          <w:szCs w:val="24"/>
        </w:rPr>
        <w:t>设计联络计划表</w:t>
      </w:r>
    </w:p>
    <w:tbl>
      <w:tblPr>
        <w:tblStyle w:val="3"/>
        <w:tblW w:w="879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28" w:type="dxa"/>
          <w:bottom w:w="0" w:type="dxa"/>
          <w:right w:w="28" w:type="dxa"/>
        </w:tblCellMar>
      </w:tblPr>
      <w:tblGrid>
        <w:gridCol w:w="1264"/>
        <w:gridCol w:w="1282"/>
        <w:gridCol w:w="3327"/>
        <w:gridCol w:w="1350"/>
        <w:gridCol w:w="15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vAlign w:val="center"/>
          </w:tcPr>
          <w:p>
            <w:pPr>
              <w:pStyle w:val="2"/>
              <w:keepNext w:val="0"/>
              <w:keepLines w:val="0"/>
              <w:pageBreakBefore w:val="0"/>
              <w:widowControl w:val="0"/>
              <w:kinsoku/>
              <w:wordWrap/>
              <w:overflowPunct/>
              <w:topLinePunct w:val="0"/>
              <w:bidi w:val="0"/>
              <w:snapToGrid/>
              <w:spacing w:before="0" w:after="0" w:line="360" w:lineRule="auto"/>
              <w:jc w:val="center"/>
              <w:rPr>
                <w:b w:val="0"/>
                <w:sz w:val="24"/>
                <w:szCs w:val="24"/>
              </w:rPr>
            </w:pPr>
            <w:r>
              <w:rPr>
                <w:b w:val="0"/>
                <w:sz w:val="24"/>
                <w:szCs w:val="24"/>
              </w:rPr>
              <w:t>序号</w:t>
            </w:r>
          </w:p>
        </w:tc>
        <w:tc>
          <w:tcPr>
            <w:tcW w:w="1282" w:type="dxa"/>
            <w:vAlign w:val="center"/>
          </w:tcPr>
          <w:p>
            <w:pPr>
              <w:pStyle w:val="2"/>
              <w:keepNext w:val="0"/>
              <w:keepLines w:val="0"/>
              <w:pageBreakBefore w:val="0"/>
              <w:widowControl w:val="0"/>
              <w:kinsoku/>
              <w:wordWrap/>
              <w:overflowPunct/>
              <w:topLinePunct w:val="0"/>
              <w:bidi w:val="0"/>
              <w:snapToGrid/>
              <w:spacing w:before="0" w:after="0" w:line="360" w:lineRule="auto"/>
              <w:jc w:val="center"/>
              <w:rPr>
                <w:b w:val="0"/>
                <w:sz w:val="24"/>
                <w:szCs w:val="24"/>
              </w:rPr>
            </w:pPr>
            <w:r>
              <w:rPr>
                <w:b w:val="0"/>
                <w:sz w:val="24"/>
                <w:szCs w:val="24"/>
              </w:rPr>
              <w:t>次数</w:t>
            </w:r>
          </w:p>
        </w:tc>
        <w:tc>
          <w:tcPr>
            <w:tcW w:w="3327" w:type="dxa"/>
            <w:vAlign w:val="center"/>
          </w:tcPr>
          <w:p>
            <w:pPr>
              <w:pStyle w:val="2"/>
              <w:keepNext w:val="0"/>
              <w:keepLines w:val="0"/>
              <w:pageBreakBefore w:val="0"/>
              <w:widowControl w:val="0"/>
              <w:kinsoku/>
              <w:wordWrap/>
              <w:overflowPunct/>
              <w:topLinePunct w:val="0"/>
              <w:bidi w:val="0"/>
              <w:snapToGrid/>
              <w:spacing w:before="0" w:after="0" w:line="360" w:lineRule="auto"/>
              <w:jc w:val="center"/>
              <w:rPr>
                <w:b w:val="0"/>
                <w:sz w:val="24"/>
                <w:szCs w:val="24"/>
              </w:rPr>
            </w:pPr>
            <w:r>
              <w:rPr>
                <w:b w:val="0"/>
                <w:sz w:val="24"/>
                <w:szCs w:val="24"/>
              </w:rPr>
              <w:t>内容</w:t>
            </w:r>
          </w:p>
        </w:tc>
        <w:tc>
          <w:tcPr>
            <w:tcW w:w="1350" w:type="dxa"/>
            <w:vAlign w:val="center"/>
          </w:tcPr>
          <w:p>
            <w:pPr>
              <w:pStyle w:val="2"/>
              <w:keepNext w:val="0"/>
              <w:keepLines w:val="0"/>
              <w:pageBreakBefore w:val="0"/>
              <w:widowControl w:val="0"/>
              <w:kinsoku/>
              <w:wordWrap/>
              <w:overflowPunct/>
              <w:topLinePunct w:val="0"/>
              <w:bidi w:val="0"/>
              <w:snapToGrid/>
              <w:spacing w:before="0" w:after="0" w:line="360" w:lineRule="auto"/>
              <w:jc w:val="center"/>
              <w:rPr>
                <w:b w:val="0"/>
                <w:sz w:val="24"/>
                <w:szCs w:val="24"/>
              </w:rPr>
            </w:pPr>
            <w:r>
              <w:rPr>
                <w:b w:val="0"/>
                <w:sz w:val="24"/>
                <w:szCs w:val="24"/>
              </w:rPr>
              <w:t>时间</w:t>
            </w:r>
          </w:p>
        </w:tc>
        <w:tc>
          <w:tcPr>
            <w:tcW w:w="1568" w:type="dxa"/>
            <w:vAlign w:val="center"/>
          </w:tcPr>
          <w:p>
            <w:pPr>
              <w:pStyle w:val="2"/>
              <w:keepNext w:val="0"/>
              <w:keepLines w:val="0"/>
              <w:pageBreakBefore w:val="0"/>
              <w:widowControl w:val="0"/>
              <w:kinsoku/>
              <w:wordWrap/>
              <w:overflowPunct/>
              <w:topLinePunct w:val="0"/>
              <w:bidi w:val="0"/>
              <w:snapToGrid/>
              <w:spacing w:before="0" w:after="0" w:line="360" w:lineRule="auto"/>
              <w:jc w:val="center"/>
              <w:rPr>
                <w:b w:val="0"/>
                <w:sz w:val="24"/>
                <w:szCs w:val="24"/>
              </w:rPr>
            </w:pPr>
            <w:r>
              <w:rPr>
                <w:b w:val="0"/>
                <w:sz w:val="24"/>
                <w:szCs w:val="24"/>
              </w:rPr>
              <w:t>人数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w:t>
            </w:r>
          </w:p>
        </w:tc>
        <w:tc>
          <w:tcPr>
            <w:tcW w:w="1282"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w:t>
            </w:r>
          </w:p>
        </w:tc>
        <w:tc>
          <w:tcPr>
            <w:tcW w:w="3327"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设计提资</w:t>
            </w:r>
          </w:p>
        </w:tc>
        <w:tc>
          <w:tcPr>
            <w:tcW w:w="1350"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1天</w:t>
            </w:r>
          </w:p>
        </w:tc>
        <w:tc>
          <w:tcPr>
            <w:tcW w:w="1568"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2</w:t>
            </w:r>
          </w:p>
        </w:tc>
        <w:tc>
          <w:tcPr>
            <w:tcW w:w="1282"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w:t>
            </w:r>
          </w:p>
        </w:tc>
        <w:tc>
          <w:tcPr>
            <w:tcW w:w="3327"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接口联络</w:t>
            </w:r>
          </w:p>
        </w:tc>
        <w:tc>
          <w:tcPr>
            <w:tcW w:w="1350"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1天</w:t>
            </w:r>
          </w:p>
        </w:tc>
        <w:tc>
          <w:tcPr>
            <w:tcW w:w="1568"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b w:val="0"/>
                <w:sz w:val="24"/>
                <w:szCs w:val="24"/>
              </w:rPr>
            </w:pPr>
            <w:r>
              <w:rPr>
                <w:rFonts w:hint="eastAsia"/>
                <w:b w:val="0"/>
                <w:sz w:val="24"/>
                <w:szCs w:val="24"/>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282"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3327"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350"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568"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282"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3327"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350"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568"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8" w:type="dxa"/>
            <w:bottom w:w="0" w:type="dxa"/>
            <w:right w:w="28" w:type="dxa"/>
          </w:tblCellMar>
        </w:tblPrEx>
        <w:tc>
          <w:tcPr>
            <w:tcW w:w="1264"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282"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3327"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350"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c>
          <w:tcPr>
            <w:tcW w:w="1568" w:type="dxa"/>
          </w:tcPr>
          <w:p>
            <w:pPr>
              <w:pStyle w:val="2"/>
              <w:keepNext w:val="0"/>
              <w:keepLines w:val="0"/>
              <w:pageBreakBefore w:val="0"/>
              <w:widowControl w:val="0"/>
              <w:kinsoku/>
              <w:wordWrap/>
              <w:overflowPunct/>
              <w:topLinePunct w:val="0"/>
              <w:bidi w:val="0"/>
              <w:snapToGrid/>
              <w:spacing w:before="0" w:after="0" w:line="360" w:lineRule="auto"/>
              <w:ind w:firstLine="480" w:firstLineChars="200"/>
              <w:jc w:val="left"/>
              <w:rPr>
                <w:rFonts w:hint="eastAsia"/>
                <w:b w:val="0"/>
                <w:sz w:val="24"/>
                <w:szCs w:val="24"/>
              </w:rPr>
            </w:pPr>
          </w:p>
        </w:tc>
      </w:tr>
    </w:tbl>
    <w:p>
      <w:pPr>
        <w:keepNext w:val="0"/>
        <w:keepLines w:val="0"/>
        <w:pageBreakBefore w:val="0"/>
        <w:widowControl w:val="0"/>
        <w:kinsoku/>
        <w:wordWrap/>
        <w:overflowPunct/>
        <w:topLinePunct w:val="0"/>
        <w:bidi w:val="0"/>
        <w:snapToGrid/>
        <w:spacing w:line="360" w:lineRule="auto"/>
        <w:ind w:firstLine="420" w:firstLineChars="200"/>
        <w:sectPr>
          <w:pgSz w:w="11907" w:h="16840"/>
          <w:pgMar w:top="1418" w:right="1418" w:bottom="1418" w:left="1418" w:header="851" w:footer="1021" w:gutter="0"/>
          <w:cols w:space="720" w:num="1"/>
          <w:titlePg/>
          <w:docGrid w:linePitch="326" w:charSpace="0"/>
        </w:sectPr>
      </w:pP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val="en-US" w:eastAsia="zh-CN"/>
        </w:rPr>
        <w:t>2、</w:t>
      </w:r>
      <w:r>
        <w:rPr>
          <w:rFonts w:hint="eastAsia"/>
          <w:b w:val="0"/>
          <w:bCs/>
          <w:sz w:val="24"/>
          <w:szCs w:val="24"/>
          <w:lang w:eastAsia="zh-CN"/>
        </w:rPr>
        <w:t>设备的安装、调试由买方组织实施，乙方负责指导安装调试事宜，但因指导性错误造成的损失由乙方承担;在安装过程中设备出现短缺、质量等问题，乙方应及时整改，若乙方整改不及时和/或而影响甲方安装进度的，甲方有权自行处理，所发生的费用和由此给甲方造成的相应损失直接从货款中扣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b w:val="0"/>
          <w:bCs/>
          <w:sz w:val="24"/>
          <w:szCs w:val="24"/>
          <w:lang w:val="en-US" w:eastAsia="zh-CN"/>
        </w:rPr>
      </w:pPr>
      <w:r>
        <w:rPr>
          <w:rFonts w:hint="eastAsia"/>
          <w:b w:val="0"/>
          <w:bCs/>
          <w:sz w:val="24"/>
          <w:szCs w:val="24"/>
          <w:lang w:val="en-US" w:eastAsia="zh-CN"/>
        </w:rPr>
        <w:t>3、</w:t>
      </w:r>
      <w:r>
        <w:rPr>
          <w:rFonts w:hint="eastAsia"/>
          <w:b w:val="0"/>
          <w:bCs/>
          <w:sz w:val="24"/>
          <w:szCs w:val="24"/>
          <w:lang w:eastAsia="zh-CN"/>
        </w:rPr>
        <w:t>付款</w:t>
      </w:r>
      <w:r>
        <w:rPr>
          <w:rFonts w:hint="eastAsia"/>
          <w:b w:val="0"/>
          <w:bCs/>
          <w:sz w:val="24"/>
          <w:szCs w:val="24"/>
          <w:lang w:val="en-US" w:eastAsia="zh-CN"/>
        </w:rPr>
        <w:t>金额和</w:t>
      </w:r>
      <w:r>
        <w:rPr>
          <w:rFonts w:hint="eastAsia"/>
          <w:b w:val="0"/>
          <w:bCs/>
          <w:sz w:val="24"/>
          <w:szCs w:val="24"/>
          <w:lang w:eastAsia="zh-CN"/>
        </w:rPr>
        <w:t>方式：合计人民币金额(大写)</w:t>
      </w:r>
      <w:r>
        <w:rPr>
          <w:rFonts w:hint="eastAsia"/>
          <w:b w:val="0"/>
          <w:bCs/>
          <w:sz w:val="24"/>
          <w:szCs w:val="24"/>
          <w:lang w:val="en-US" w:eastAsia="zh-CN"/>
        </w:rPr>
        <w:t>壹拾捌万陆仟</w:t>
      </w:r>
      <w:r>
        <w:rPr>
          <w:rFonts w:hint="eastAsia"/>
          <w:b w:val="0"/>
          <w:bCs/>
          <w:sz w:val="24"/>
          <w:szCs w:val="24"/>
          <w:lang w:eastAsia="zh-CN"/>
        </w:rPr>
        <w:t>元整 (含增值税等履行本合同的全部费用)￥</w:t>
      </w:r>
      <w:r>
        <w:rPr>
          <w:rFonts w:hint="eastAsia"/>
          <w:b w:val="0"/>
          <w:bCs/>
          <w:sz w:val="24"/>
          <w:szCs w:val="24"/>
          <w:lang w:val="en-US" w:eastAsia="zh-CN"/>
        </w:rPr>
        <w:t>186000，</w:t>
      </w:r>
      <w:r>
        <w:rPr>
          <w:rFonts w:hint="eastAsia"/>
          <w:b w:val="0"/>
          <w:bCs/>
          <w:sz w:val="24"/>
          <w:szCs w:val="24"/>
          <w:lang w:val="en-US" w:eastAsia="zh-Hans"/>
        </w:rPr>
        <w:t>本合同</w:t>
      </w:r>
      <w:r>
        <w:rPr>
          <w:rFonts w:hint="eastAsia"/>
          <w:b w:val="0"/>
          <w:bCs/>
          <w:sz w:val="24"/>
          <w:szCs w:val="24"/>
          <w:lang w:eastAsia="zh-CN"/>
        </w:rPr>
        <w:t>签订</w:t>
      </w:r>
      <w:r>
        <w:rPr>
          <w:rFonts w:hint="eastAsia"/>
          <w:b w:val="0"/>
          <w:bCs/>
          <w:sz w:val="24"/>
          <w:szCs w:val="24"/>
          <w:lang w:val="en-US" w:eastAsia="zh-Hans"/>
        </w:rPr>
        <w:t>后</w:t>
      </w:r>
      <w:r>
        <w:rPr>
          <w:rFonts w:hint="eastAsia"/>
          <w:b w:val="0"/>
          <w:bCs/>
          <w:sz w:val="24"/>
          <w:szCs w:val="24"/>
          <w:lang w:val="en-US" w:eastAsia="zh-CN"/>
        </w:rPr>
        <w:t>10</w:t>
      </w:r>
      <w:r>
        <w:rPr>
          <w:rFonts w:hint="eastAsia"/>
          <w:b w:val="0"/>
          <w:bCs/>
          <w:sz w:val="24"/>
          <w:szCs w:val="24"/>
          <w:lang w:val="en-US" w:eastAsia="zh-Hans"/>
        </w:rPr>
        <w:t>日内，需方支付合同总额的</w:t>
      </w:r>
      <w:r>
        <w:rPr>
          <w:rFonts w:hint="eastAsia"/>
          <w:b w:val="0"/>
          <w:bCs/>
          <w:sz w:val="24"/>
          <w:szCs w:val="24"/>
          <w:lang w:val="en-US" w:eastAsia="zh-CN"/>
        </w:rPr>
        <w:t>60</w:t>
      </w:r>
      <w:r>
        <w:rPr>
          <w:rFonts w:hint="eastAsia"/>
          <w:b w:val="0"/>
          <w:bCs/>
          <w:sz w:val="24"/>
          <w:szCs w:val="24"/>
          <w:lang w:eastAsia="zh-CN"/>
        </w:rPr>
        <w:t>%(￥</w:t>
      </w:r>
      <w:r>
        <w:rPr>
          <w:rFonts w:hint="eastAsia"/>
          <w:b w:val="0"/>
          <w:bCs/>
          <w:sz w:val="24"/>
          <w:szCs w:val="24"/>
          <w:lang w:val="en-US" w:eastAsia="zh-CN"/>
        </w:rPr>
        <w:t>111600</w:t>
      </w:r>
      <w:r>
        <w:rPr>
          <w:rFonts w:hint="eastAsia"/>
          <w:b w:val="0"/>
          <w:bCs/>
          <w:sz w:val="24"/>
          <w:szCs w:val="24"/>
          <w:lang w:eastAsia="zh-CN"/>
        </w:rPr>
        <w:t>)</w:t>
      </w:r>
      <w:r>
        <w:rPr>
          <w:rFonts w:hint="eastAsia"/>
          <w:b w:val="0"/>
          <w:bCs/>
          <w:sz w:val="24"/>
          <w:szCs w:val="24"/>
          <w:lang w:val="en-US" w:eastAsia="zh-Hans"/>
        </w:rPr>
        <w:t>作为预付款；</w:t>
      </w:r>
      <w:r>
        <w:rPr>
          <w:rFonts w:hint="eastAsia"/>
          <w:b w:val="0"/>
          <w:bCs/>
          <w:sz w:val="24"/>
          <w:szCs w:val="24"/>
          <w:lang w:val="en-US" w:eastAsia="zh-CN"/>
        </w:rPr>
        <w:t>调试安装完成</w:t>
      </w:r>
      <w:r>
        <w:rPr>
          <w:rFonts w:hint="eastAsia"/>
          <w:b w:val="0"/>
          <w:bCs/>
          <w:sz w:val="24"/>
          <w:szCs w:val="24"/>
          <w:lang w:val="en-US" w:eastAsia="zh-Hans"/>
        </w:rPr>
        <w:t>并经需方验收合格后</w:t>
      </w:r>
      <w:r>
        <w:rPr>
          <w:rFonts w:hint="eastAsia"/>
          <w:b w:val="0"/>
          <w:bCs/>
          <w:sz w:val="24"/>
          <w:szCs w:val="24"/>
          <w:lang w:val="en-US" w:eastAsia="zh-CN"/>
        </w:rPr>
        <w:t>10</w:t>
      </w:r>
      <w:r>
        <w:rPr>
          <w:rFonts w:hint="eastAsia"/>
          <w:b w:val="0"/>
          <w:bCs/>
          <w:sz w:val="24"/>
          <w:szCs w:val="24"/>
          <w:lang w:val="en-US" w:eastAsia="zh-Hans"/>
        </w:rPr>
        <w:t>日内，需方支付合同总额的</w:t>
      </w:r>
      <w:r>
        <w:rPr>
          <w:rFonts w:hint="eastAsia"/>
          <w:b w:val="0"/>
          <w:bCs/>
          <w:sz w:val="24"/>
          <w:szCs w:val="24"/>
          <w:lang w:val="en-US" w:eastAsia="zh-CN"/>
        </w:rPr>
        <w:t>40</w:t>
      </w:r>
      <w:r>
        <w:rPr>
          <w:rFonts w:hint="eastAsia"/>
          <w:b w:val="0"/>
          <w:bCs/>
          <w:sz w:val="24"/>
          <w:szCs w:val="24"/>
          <w:lang w:eastAsia="zh-CN"/>
        </w:rPr>
        <w:t>%(￥</w:t>
      </w:r>
      <w:r>
        <w:rPr>
          <w:rFonts w:hint="eastAsia"/>
          <w:b w:val="0"/>
          <w:bCs/>
          <w:sz w:val="24"/>
          <w:szCs w:val="24"/>
          <w:lang w:val="en-US" w:eastAsia="zh-CN"/>
        </w:rPr>
        <w:t>74400</w:t>
      </w:r>
      <w:r>
        <w:rPr>
          <w:rFonts w:hint="eastAsia"/>
          <w:b w:val="0"/>
          <w:bCs/>
          <w:sz w:val="24"/>
          <w:szCs w:val="24"/>
          <w:lang w:eastAsia="zh-CN"/>
        </w:rPr>
        <w:t>)。</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val="en-US" w:eastAsia="zh-CN"/>
        </w:rPr>
        <w:t>4</w:t>
      </w:r>
      <w:r>
        <w:rPr>
          <w:rFonts w:hint="eastAsia"/>
          <w:b w:val="0"/>
          <w:bCs/>
          <w:sz w:val="24"/>
          <w:szCs w:val="24"/>
          <w:lang w:eastAsia="zh-CN"/>
        </w:rPr>
        <w:t>、合同履行中，单方要求变更合同的，必须在约定的交货日前七天以书面形式通知对方，且须经对方的书面认可。</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val="en-US" w:eastAsia="zh-CN"/>
        </w:rPr>
        <w:t>5</w:t>
      </w:r>
      <w:r>
        <w:rPr>
          <w:rFonts w:hint="eastAsia"/>
          <w:b w:val="0"/>
          <w:bCs/>
          <w:sz w:val="24"/>
          <w:szCs w:val="24"/>
          <w:lang w:eastAsia="zh-CN"/>
        </w:rPr>
        <w:t>、除不可抗力外，买卖双方中任何一方随意解除合同、不履行合同、或出现根本性违约的，应适用定金罚则。</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val="en-US" w:eastAsia="zh-CN"/>
        </w:rPr>
        <w:t>6</w:t>
      </w:r>
      <w:r>
        <w:rPr>
          <w:rFonts w:hint="eastAsia"/>
          <w:b w:val="0"/>
          <w:bCs/>
          <w:sz w:val="24"/>
          <w:szCs w:val="24"/>
          <w:lang w:eastAsia="zh-CN"/>
        </w:rPr>
        <w:t>、质量问题责任：</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eastAsia="zh-CN"/>
        </w:rPr>
        <w:t>①安装调试后，设备未能达到合同约定的技术标准和质量要求，乙方应及时整改，如整改后仍不合格或整改超过三天仍未完成，则按退货处理，退货费用由乙方承担，同时乙方必须双倍返还合同定金和退回甲方支付的其他款项，并承担由此给甲方造成的相应损失。</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eastAsia="zh-CN"/>
        </w:rPr>
        <w:t>②在质保期内，如果设备发生故障，乙方在接到通知后，应随即电告甲方处理的意见和措施，并且在接到通知后的两个工作日内派人到现场调查处理。若设备故障是由于乙方原因所致，则乙方必须及时予以修理，并承担由此给甲方造成的相应损失;如果甲方未能按时派人到场修理，甲方有权自行修理，由此所发生的费用以及由此给甲方造成的相应损失均由乙方承担。若设备故障并非由乙方原因所致，则由甲方自行处理，但乙方仍负有协助的义务。</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eastAsia="zh-CN"/>
        </w:rPr>
        <w:t>③在质保期外使用期限之内，如设备发生故障，经第三方专家和/或权威部门鉴定，发生故障的原因确系该设备设计、选材、制作工艺等不合理各/或不符合标准、质量要求，乙方应及时维修，由此所发生的费用以及给买方造成的相应损失均由卖方承担。</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b w:val="0"/>
          <w:bCs/>
          <w:sz w:val="24"/>
          <w:szCs w:val="24"/>
          <w:lang w:eastAsia="zh-CN"/>
        </w:rPr>
      </w:pPr>
      <w:r>
        <w:rPr>
          <w:rFonts w:hint="eastAsia"/>
          <w:b w:val="0"/>
          <w:bCs/>
          <w:sz w:val="24"/>
          <w:szCs w:val="24"/>
          <w:lang w:val="en-US" w:eastAsia="zh-CN"/>
        </w:rPr>
        <w:t>7</w:t>
      </w:r>
      <w:r>
        <w:rPr>
          <w:rFonts w:hint="eastAsia"/>
          <w:b w:val="0"/>
          <w:bCs/>
          <w:sz w:val="24"/>
          <w:szCs w:val="24"/>
          <w:lang w:eastAsia="zh-CN"/>
        </w:rPr>
        <w:t>、解决争议的方法：执行本合同发生争议，由买卖双方友好协商解决。协商不成则由签约所在地人民法院裁决。</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ascii="Calibri" w:hAnsi="Calibri"/>
          <w:b w:val="0"/>
          <w:sz w:val="24"/>
          <w:szCs w:val="24"/>
          <w:lang w:eastAsia="zh-CN"/>
        </w:rPr>
      </w:pPr>
      <w:r>
        <w:rPr>
          <w:rFonts w:hint="eastAsia" w:ascii="Calibri" w:hAnsi="Calibri"/>
          <w:b w:val="0"/>
          <w:sz w:val="24"/>
          <w:szCs w:val="24"/>
          <w:lang w:val="en-US" w:eastAsia="zh-CN"/>
        </w:rPr>
        <w:t>8、</w:t>
      </w:r>
      <w:r>
        <w:rPr>
          <w:rFonts w:hint="eastAsia" w:ascii="Calibri" w:hAnsi="Calibri"/>
          <w:b w:val="0"/>
          <w:sz w:val="24"/>
          <w:szCs w:val="24"/>
          <w:lang w:eastAsia="zh-CN"/>
        </w:rPr>
        <w:t>其他：</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ascii="Calibri" w:hAnsi="Calibri"/>
          <w:b w:val="0"/>
          <w:sz w:val="24"/>
          <w:szCs w:val="24"/>
          <w:lang w:eastAsia="zh-CN"/>
        </w:rPr>
      </w:pPr>
      <w:r>
        <w:rPr>
          <w:rFonts w:hint="eastAsia" w:ascii="Calibri" w:hAnsi="Calibri"/>
          <w:b w:val="0"/>
          <w:sz w:val="24"/>
          <w:szCs w:val="24"/>
          <w:lang w:val="en-US" w:eastAsia="zh-CN"/>
        </w:rPr>
        <w:t>8.</w:t>
      </w:r>
      <w:r>
        <w:rPr>
          <w:rFonts w:hint="eastAsia" w:ascii="Calibri" w:hAnsi="Calibri"/>
          <w:b w:val="0"/>
          <w:sz w:val="24"/>
          <w:szCs w:val="24"/>
          <w:lang w:eastAsia="zh-CN"/>
        </w:rPr>
        <w:t>1本合同未约定事项按《民法典》的有关规定处理。</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ascii="Calibri" w:hAnsi="Calibri"/>
          <w:b w:val="0"/>
          <w:sz w:val="24"/>
          <w:szCs w:val="24"/>
          <w:lang w:eastAsia="zh-CN"/>
        </w:rPr>
      </w:pPr>
      <w:r>
        <w:rPr>
          <w:rFonts w:hint="eastAsia" w:ascii="Calibri" w:hAnsi="Calibri"/>
          <w:b w:val="0"/>
          <w:sz w:val="24"/>
          <w:szCs w:val="24"/>
          <w:lang w:val="en-US" w:eastAsia="zh-CN"/>
        </w:rPr>
        <w:t>8.</w:t>
      </w:r>
      <w:r>
        <w:rPr>
          <w:rFonts w:hint="eastAsia" w:ascii="Calibri" w:hAnsi="Calibri"/>
          <w:b w:val="0"/>
          <w:sz w:val="24"/>
          <w:szCs w:val="24"/>
          <w:lang w:eastAsia="zh-CN"/>
        </w:rPr>
        <w:t>2本合同经买卖双方签字盖章之日起生效。</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eastAsia" w:ascii="Calibri" w:hAnsi="Calibri"/>
          <w:b w:val="0"/>
          <w:sz w:val="24"/>
          <w:szCs w:val="24"/>
          <w:lang w:eastAsia="zh-CN"/>
        </w:rPr>
      </w:pPr>
      <w:r>
        <w:rPr>
          <w:rFonts w:hint="eastAsia" w:ascii="Calibri" w:hAnsi="Calibri"/>
          <w:b w:val="0"/>
          <w:sz w:val="24"/>
          <w:szCs w:val="24"/>
          <w:lang w:val="en-US" w:eastAsia="zh-CN"/>
        </w:rPr>
        <w:t>8.</w:t>
      </w:r>
      <w:r>
        <w:rPr>
          <w:rFonts w:hint="eastAsia" w:ascii="Calibri" w:hAnsi="Calibri"/>
          <w:b w:val="0"/>
          <w:sz w:val="24"/>
          <w:szCs w:val="24"/>
          <w:lang w:eastAsia="zh-CN"/>
        </w:rPr>
        <w:t>3本合同一式</w:t>
      </w:r>
      <w:r>
        <w:rPr>
          <w:rFonts w:hint="eastAsia" w:ascii="Calibri" w:hAnsi="Calibri"/>
          <w:b w:val="0"/>
          <w:sz w:val="24"/>
          <w:szCs w:val="24"/>
          <w:lang w:val="en-US" w:eastAsia="zh-CN"/>
        </w:rPr>
        <w:t>肆</w:t>
      </w:r>
      <w:r>
        <w:rPr>
          <w:rFonts w:hint="eastAsia" w:ascii="Calibri" w:hAnsi="Calibri"/>
          <w:b w:val="0"/>
          <w:sz w:val="24"/>
          <w:szCs w:val="24"/>
          <w:lang w:eastAsia="zh-CN"/>
        </w:rPr>
        <w:t>份，买卖双方各执</w:t>
      </w:r>
      <w:r>
        <w:rPr>
          <w:rFonts w:hint="eastAsia" w:ascii="Calibri" w:hAnsi="Calibri"/>
          <w:b w:val="0"/>
          <w:sz w:val="24"/>
          <w:szCs w:val="24"/>
          <w:lang w:val="en-US" w:eastAsia="zh-CN"/>
        </w:rPr>
        <w:t>贰</w:t>
      </w:r>
      <w:r>
        <w:rPr>
          <w:rFonts w:hint="eastAsia" w:ascii="Calibri" w:hAnsi="Calibri"/>
          <w:b w:val="0"/>
          <w:sz w:val="24"/>
          <w:szCs w:val="24"/>
          <w:lang w:eastAsia="zh-CN"/>
        </w:rPr>
        <w:t>份。</w:t>
      </w:r>
    </w:p>
    <w:p>
      <w:pPr>
        <w:pStyle w:val="2"/>
        <w:keepNext w:val="0"/>
        <w:keepLines w:val="0"/>
        <w:spacing w:before="0" w:after="0"/>
        <w:rPr>
          <w:rFonts w:hint="eastAsia" w:ascii="Calibri" w:hAnsi="Calibri"/>
          <w:b w:val="0"/>
          <w:sz w:val="24"/>
          <w:szCs w:val="24"/>
          <w:lang w:eastAsia="zh-CN"/>
        </w:rPr>
      </w:pPr>
    </w:p>
    <w:p>
      <w:pPr>
        <w:pStyle w:val="2"/>
        <w:keepNext w:val="0"/>
        <w:keepLines w:val="0"/>
        <w:spacing w:before="0" w:after="0"/>
        <w:rPr>
          <w:rFonts w:hint="eastAsia" w:ascii="Calibri" w:hAnsi="Calibri"/>
          <w:b w:val="0"/>
          <w:sz w:val="24"/>
          <w:szCs w:val="24"/>
          <w:lang w:eastAsia="zh-CN"/>
        </w:rPr>
      </w:pPr>
    </w:p>
    <w:p>
      <w:pPr>
        <w:pStyle w:val="2"/>
        <w:keepNext w:val="0"/>
        <w:keepLines w:val="0"/>
        <w:spacing w:before="0" w:after="0"/>
        <w:rPr>
          <w:rFonts w:hint="eastAsia" w:ascii="Calibri" w:hAnsi="Calibri"/>
          <w:b w:val="0"/>
          <w:sz w:val="24"/>
          <w:szCs w:val="24"/>
          <w:lang w:val="en-US" w:eastAsia="zh-CN"/>
        </w:rPr>
      </w:pPr>
      <w:r>
        <w:rPr>
          <w:rFonts w:hint="eastAsia" w:ascii="Calibri" w:hAnsi="Calibri"/>
          <w:b w:val="0"/>
          <w:sz w:val="24"/>
          <w:szCs w:val="24"/>
          <w:lang w:eastAsia="zh-CN"/>
        </w:rPr>
        <w:t>甲方(公章)：</w:t>
      </w:r>
      <w:r>
        <w:rPr>
          <w:rFonts w:hint="eastAsia" w:ascii="Calibri" w:hAnsi="Calibri"/>
          <w:b w:val="0"/>
          <w:sz w:val="24"/>
          <w:szCs w:val="24"/>
          <w:u w:val="single"/>
          <w:lang w:val="en-US" w:eastAsia="zh-CN"/>
        </w:rPr>
        <w:t xml:space="preserve">华北电力大学   </w:t>
      </w:r>
      <w:r>
        <w:rPr>
          <w:rFonts w:hint="eastAsia" w:ascii="Calibri" w:hAnsi="Calibri"/>
          <w:b w:val="0"/>
          <w:sz w:val="24"/>
          <w:szCs w:val="24"/>
          <w:lang w:val="en-US" w:eastAsia="zh-CN"/>
        </w:rPr>
        <w:t xml:space="preserve">                         </w:t>
      </w:r>
      <w:r>
        <w:rPr>
          <w:rFonts w:hint="eastAsia" w:ascii="Calibri" w:hAnsi="Calibri"/>
          <w:b w:val="0"/>
          <w:sz w:val="24"/>
          <w:szCs w:val="24"/>
          <w:lang w:eastAsia="zh-CN"/>
        </w:rPr>
        <w:t>乙方(公章)：</w:t>
      </w:r>
      <w:r>
        <w:rPr>
          <w:rFonts w:hint="eastAsia" w:ascii="Calibri" w:hAnsi="Calibri"/>
          <w:b w:val="0"/>
          <w:sz w:val="24"/>
          <w:szCs w:val="24"/>
          <w:u w:val="single"/>
          <w:lang w:val="en-US" w:eastAsia="zh-CN"/>
        </w:rPr>
        <w:t>北京中电之星科技发展有限公司</w:t>
      </w:r>
      <w:r>
        <w:rPr>
          <w:rFonts w:hint="eastAsia" w:ascii="Calibri" w:hAnsi="Calibri"/>
          <w:b w:val="0"/>
          <w:sz w:val="24"/>
          <w:szCs w:val="24"/>
          <w:lang w:val="en-US" w:eastAsia="zh-CN"/>
        </w:rPr>
        <w:t xml:space="preserve">       </w:t>
      </w:r>
    </w:p>
    <w:p>
      <w:pPr>
        <w:pStyle w:val="2"/>
        <w:keepNext w:val="0"/>
        <w:keepLines w:val="0"/>
        <w:spacing w:before="0" w:after="0"/>
        <w:rPr>
          <w:rFonts w:hint="eastAsia" w:ascii="Calibri" w:hAnsi="Calibri"/>
          <w:b w:val="0"/>
          <w:sz w:val="24"/>
          <w:szCs w:val="24"/>
          <w:lang w:val="en-US" w:eastAsia="zh-CN"/>
        </w:rPr>
      </w:pPr>
      <w:r>
        <w:rPr>
          <w:rFonts w:hint="eastAsia" w:ascii="Calibri" w:hAnsi="Calibri"/>
          <w:b w:val="0"/>
          <w:sz w:val="24"/>
          <w:szCs w:val="24"/>
          <w:lang w:val="en-US" w:eastAsia="zh-CN"/>
        </w:rPr>
        <w:t xml:space="preserve">                                          </w:t>
      </w:r>
    </w:p>
    <w:p>
      <w:pPr>
        <w:pStyle w:val="2"/>
        <w:keepNext w:val="0"/>
        <w:keepLines w:val="0"/>
        <w:spacing w:before="0" w:after="0"/>
        <w:rPr>
          <w:rFonts w:hint="eastAsia" w:ascii="Calibri" w:hAnsi="Calibri"/>
          <w:b w:val="0"/>
          <w:sz w:val="24"/>
          <w:szCs w:val="24"/>
          <w:lang w:val="en-US" w:eastAsia="zh-CN"/>
        </w:rPr>
      </w:pPr>
      <w:r>
        <w:rPr>
          <w:rFonts w:hint="eastAsia" w:ascii="Calibri" w:hAnsi="Calibri"/>
          <w:b w:val="0"/>
          <w:sz w:val="24"/>
          <w:szCs w:val="24"/>
          <w:lang w:val="en-US" w:eastAsia="zh-CN"/>
        </w:rPr>
        <w:t xml:space="preserve">   </w:t>
      </w:r>
    </w:p>
    <w:p>
      <w:pPr>
        <w:rPr>
          <w:rFonts w:hint="default"/>
          <w:lang w:val="en-US" w:eastAsia="zh-CN"/>
        </w:rPr>
      </w:pPr>
    </w:p>
    <w:p>
      <w:pPr>
        <w:pStyle w:val="2"/>
        <w:keepNext w:val="0"/>
        <w:keepLines w:val="0"/>
        <w:spacing w:before="0" w:after="0"/>
        <w:rPr>
          <w:rFonts w:hint="eastAsia" w:ascii="Calibri" w:hAnsi="Calibri"/>
          <w:b w:val="0"/>
          <w:sz w:val="24"/>
          <w:szCs w:val="24"/>
          <w:u w:val="none"/>
          <w:lang w:val="en-US" w:eastAsia="zh-CN"/>
        </w:rPr>
      </w:pPr>
      <w:r>
        <w:rPr>
          <w:rFonts w:hint="eastAsia" w:ascii="Calibri" w:hAnsi="Calibri"/>
          <w:b w:val="0"/>
          <w:sz w:val="24"/>
          <w:szCs w:val="24"/>
          <w:lang w:val="en-US" w:eastAsia="zh-CN"/>
        </w:rPr>
        <w:t>法定或授权</w:t>
      </w:r>
      <w:r>
        <w:rPr>
          <w:rFonts w:hint="eastAsia" w:ascii="Calibri" w:hAnsi="Calibri"/>
          <w:b w:val="0"/>
          <w:sz w:val="24"/>
          <w:szCs w:val="24"/>
          <w:lang w:eastAsia="zh-CN"/>
        </w:rPr>
        <w:t>代表(签字)：</w:t>
      </w:r>
      <w:r>
        <w:rPr>
          <w:rFonts w:hint="eastAsia" w:ascii="Calibri" w:hAnsi="Calibri"/>
          <w:b w:val="0"/>
          <w:sz w:val="24"/>
          <w:szCs w:val="24"/>
          <w:lang w:val="en-US" w:eastAsia="zh-CN"/>
        </w:rPr>
        <w:t xml:space="preserve">                                 法定或授权</w:t>
      </w:r>
      <w:r>
        <w:rPr>
          <w:rFonts w:hint="eastAsia" w:ascii="Calibri" w:hAnsi="Calibri"/>
          <w:b w:val="0"/>
          <w:sz w:val="24"/>
          <w:szCs w:val="24"/>
          <w:lang w:eastAsia="zh-CN"/>
        </w:rPr>
        <w:t>代表(签字)：</w:t>
      </w:r>
      <w:r>
        <w:rPr>
          <w:rFonts w:hint="eastAsia" w:ascii="Calibri" w:hAnsi="Calibri"/>
          <w:b w:val="0"/>
          <w:sz w:val="24"/>
          <w:szCs w:val="24"/>
          <w:u w:val="single"/>
          <w:lang w:val="en-US" w:eastAsia="zh-CN"/>
        </w:rPr>
        <w:t xml:space="preserve"> </w:t>
      </w:r>
      <w:r>
        <w:rPr>
          <w:rFonts w:hint="eastAsia" w:ascii="Calibri" w:hAnsi="Calibri"/>
          <w:b w:val="0"/>
          <w:sz w:val="24"/>
          <w:szCs w:val="24"/>
          <w:u w:val="none"/>
          <w:lang w:val="en-US" w:eastAsia="zh-CN"/>
        </w:rPr>
        <w:t xml:space="preserve">                   </w:t>
      </w:r>
    </w:p>
    <w:p>
      <w:pPr>
        <w:rPr>
          <w:rFonts w:hint="eastAsia" w:ascii="Calibri" w:hAnsi="Calibri"/>
          <w:b w:val="0"/>
          <w:sz w:val="24"/>
          <w:szCs w:val="24"/>
          <w:lang w:val="en-US" w:eastAsia="zh-CN"/>
        </w:rPr>
      </w:pPr>
    </w:p>
    <w:p>
      <w:pPr>
        <w:rPr>
          <w:rFonts w:hint="eastAsia" w:ascii="Calibri" w:hAnsi="Calibri"/>
          <w:b w:val="0"/>
          <w:sz w:val="24"/>
          <w:szCs w:val="24"/>
          <w:lang w:val="en-US" w:eastAsia="zh-CN"/>
        </w:rPr>
      </w:pPr>
    </w:p>
    <w:p>
      <w:pPr>
        <w:rPr>
          <w:rFonts w:hint="eastAsia" w:ascii="Calibri" w:hAnsi="Calibri"/>
          <w:b w:val="0"/>
          <w:sz w:val="24"/>
          <w:szCs w:val="24"/>
          <w:lang w:val="en-US" w:eastAsia="zh-CN"/>
        </w:rPr>
      </w:pPr>
    </w:p>
    <w:p>
      <w:pPr>
        <w:rPr>
          <w:rFonts w:hint="eastAsia" w:ascii="Calibri" w:hAnsi="Calibri"/>
          <w:b w:val="0"/>
          <w:sz w:val="24"/>
          <w:szCs w:val="24"/>
          <w:lang w:val="en-US" w:eastAsia="zh-CN"/>
        </w:rPr>
      </w:pPr>
    </w:p>
    <w:p>
      <w:pPr>
        <w:pStyle w:val="2"/>
        <w:keepNext w:val="0"/>
        <w:keepLines w:val="0"/>
        <w:spacing w:before="0" w:after="0"/>
        <w:rPr>
          <w:rFonts w:hint="eastAsia" w:ascii="Calibri" w:hAnsi="Calibri"/>
          <w:b w:val="0"/>
          <w:sz w:val="24"/>
          <w:szCs w:val="24"/>
          <w:lang w:eastAsia="zh-CN"/>
        </w:rPr>
      </w:pPr>
      <w:r>
        <w:rPr>
          <w:rFonts w:hint="eastAsia" w:ascii="Calibri" w:hAnsi="Calibri"/>
          <w:b w:val="0"/>
          <w:sz w:val="24"/>
          <w:szCs w:val="24"/>
          <w:lang w:val="en-US" w:eastAsia="zh-CN"/>
        </w:rPr>
        <w:t>2023</w:t>
      </w:r>
      <w:r>
        <w:rPr>
          <w:rFonts w:hint="eastAsia" w:ascii="Calibri" w:hAnsi="Calibri"/>
          <w:b w:val="0"/>
          <w:sz w:val="24"/>
          <w:szCs w:val="24"/>
          <w:lang w:eastAsia="zh-CN"/>
        </w:rPr>
        <w:t>年</w:t>
      </w:r>
      <w:r>
        <w:rPr>
          <w:rFonts w:hint="eastAsia" w:ascii="Calibri" w:hAnsi="Calibri"/>
          <w:b w:val="0"/>
          <w:sz w:val="24"/>
          <w:szCs w:val="24"/>
          <w:lang w:val="en-US" w:eastAsia="zh-CN"/>
        </w:rPr>
        <w:t>6</w:t>
      </w:r>
      <w:r>
        <w:rPr>
          <w:rFonts w:hint="eastAsia" w:ascii="Calibri" w:hAnsi="Calibri"/>
          <w:b w:val="0"/>
          <w:sz w:val="24"/>
          <w:szCs w:val="24"/>
          <w:lang w:eastAsia="zh-CN"/>
        </w:rPr>
        <w:t>月</w:t>
      </w:r>
      <w:r>
        <w:rPr>
          <w:rFonts w:hint="eastAsia" w:ascii="Calibri" w:hAnsi="Calibri"/>
          <w:b w:val="0"/>
          <w:sz w:val="24"/>
          <w:szCs w:val="24"/>
          <w:lang w:val="en-US" w:eastAsia="zh-CN"/>
        </w:rPr>
        <w:t>24</w:t>
      </w:r>
      <w:r>
        <w:rPr>
          <w:rFonts w:hint="eastAsia" w:ascii="Calibri" w:hAnsi="Calibri"/>
          <w:b w:val="0"/>
          <w:sz w:val="24"/>
          <w:szCs w:val="24"/>
          <w:lang w:eastAsia="zh-CN"/>
        </w:rPr>
        <w:t>日</w:t>
      </w:r>
      <w:r>
        <w:rPr>
          <w:rFonts w:hint="eastAsia" w:ascii="Calibri" w:hAnsi="Calibri"/>
          <w:b w:val="0"/>
          <w:sz w:val="24"/>
          <w:szCs w:val="24"/>
          <w:lang w:val="en-US" w:eastAsia="zh-CN"/>
        </w:rPr>
        <w:t xml:space="preserve">                                             2023</w:t>
      </w:r>
      <w:r>
        <w:rPr>
          <w:rFonts w:hint="eastAsia" w:ascii="Calibri" w:hAnsi="Calibri"/>
          <w:b w:val="0"/>
          <w:sz w:val="24"/>
          <w:szCs w:val="24"/>
          <w:lang w:eastAsia="zh-CN"/>
        </w:rPr>
        <w:t>年</w:t>
      </w:r>
      <w:r>
        <w:rPr>
          <w:rFonts w:hint="eastAsia" w:ascii="Calibri" w:hAnsi="Calibri"/>
          <w:b w:val="0"/>
          <w:sz w:val="24"/>
          <w:szCs w:val="24"/>
          <w:lang w:val="en-US" w:eastAsia="zh-CN"/>
        </w:rPr>
        <w:t>6</w:t>
      </w:r>
      <w:r>
        <w:rPr>
          <w:rFonts w:hint="eastAsia" w:ascii="Calibri" w:hAnsi="Calibri"/>
          <w:b w:val="0"/>
          <w:sz w:val="24"/>
          <w:szCs w:val="24"/>
          <w:lang w:eastAsia="zh-CN"/>
        </w:rPr>
        <w:t>月</w:t>
      </w:r>
      <w:r>
        <w:rPr>
          <w:rFonts w:hint="eastAsia" w:ascii="Calibri" w:hAnsi="Calibri"/>
          <w:b w:val="0"/>
          <w:sz w:val="24"/>
          <w:szCs w:val="24"/>
          <w:lang w:val="en-US" w:eastAsia="zh-CN"/>
        </w:rPr>
        <w:t>24</w:t>
      </w:r>
      <w:r>
        <w:rPr>
          <w:rFonts w:hint="eastAsia" w:ascii="Calibri" w:hAnsi="Calibri"/>
          <w:b w:val="0"/>
          <w:sz w:val="24"/>
          <w:szCs w:val="24"/>
          <w:lang w:eastAsia="zh-CN"/>
        </w:rPr>
        <w:t>日</w:t>
      </w:r>
    </w:p>
    <w:p/>
    <w:sectPr>
      <w:footerReference r:id="rId3"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w:instrText>
    </w:r>
    <w:r>
      <w:fldChar w:fldCharType="separate"/>
    </w:r>
    <w: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xZGQzYjRhODFhOWMwMDJmYmYyMzExN2RjM2M4MzAifQ=="/>
  </w:docVars>
  <w:rsids>
    <w:rsidRoot w:val="00000000"/>
    <w:rsid w:val="024A6146"/>
    <w:rsid w:val="0D8F50E0"/>
    <w:rsid w:val="0DF93BBD"/>
    <w:rsid w:val="10437371"/>
    <w:rsid w:val="1438171D"/>
    <w:rsid w:val="150C1839"/>
    <w:rsid w:val="159462DD"/>
    <w:rsid w:val="251C7DC6"/>
    <w:rsid w:val="262150A9"/>
    <w:rsid w:val="2EF76CC8"/>
    <w:rsid w:val="367E6222"/>
    <w:rsid w:val="38A07DE5"/>
    <w:rsid w:val="3A375156"/>
    <w:rsid w:val="481A0E73"/>
    <w:rsid w:val="48A91760"/>
    <w:rsid w:val="5784066F"/>
    <w:rsid w:val="61F82D30"/>
    <w:rsid w:val="63DF02D4"/>
    <w:rsid w:val="6DF919E3"/>
    <w:rsid w:val="70334C37"/>
    <w:rsid w:val="780879A1"/>
    <w:rsid w:val="790F3B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3"/>
    <w:basedOn w:val="1"/>
    <w:next w:val="1"/>
    <w:qFormat/>
    <w:uiPriority w:val="0"/>
    <w:pPr>
      <w:keepNext/>
      <w:keepLines/>
      <w:adjustRightInd w:val="0"/>
      <w:spacing w:before="240" w:after="120" w:line="360" w:lineRule="auto"/>
      <w:textAlignment w:val="baseline"/>
      <w:outlineLvl w:val="2"/>
    </w:pPr>
    <w:rPr>
      <w:b/>
      <w:kern w:val="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0"/>
    <w:pPr>
      <w:ind w:firstLine="420" w:firstLineChars="200"/>
    </w:pPr>
    <w:rPr>
      <w:rFonts w:ascii="Calibri" w:hAnsi="Calibri"/>
      <w:sz w:val="21"/>
      <w:szCs w:val="22"/>
    </w:rPr>
  </w:style>
  <w:style w:type="paragraph" w:customStyle="1" w:styleId="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2023-06-24T07:16:00Z</dcterms:created>
  <dc:creator>15111</dc:creator>
  <cp:lastModifiedBy>90506574</cp:lastModifiedBy>
  <dcterms:modified xsi:type="dcterms:W3CDTF">2023-06-28T01:08:03Z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27BCFE99B9754951B8A00AA1338DF52C_13</vt:lpwstr>
  </property>
</Properties>
</file>