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val="0"/>
        <w:spacing w:after="313" w:afterLines="100" w:line="480" w:lineRule="exact"/>
        <w:ind w:firstLine="199" w:firstLineChars="62"/>
        <w:jc w:val="center"/>
        <w:textAlignment w:val="auto"/>
        <w:rPr>
          <w:rFonts w:hint="eastAsia" w:ascii="华文中宋" w:hAnsi="华文中宋" w:eastAsia="华文中宋"/>
          <w:b/>
          <w:sz w:val="32"/>
        </w:rPr>
      </w:pPr>
      <w:r>
        <w:rPr>
          <w:rFonts w:hint="eastAsia" w:ascii="华文中宋" w:hAnsi="华文中宋" w:eastAsia="华文中宋"/>
          <w:b/>
          <w:kern w:val="0"/>
          <w:sz w:val="32"/>
          <w:szCs w:val="32"/>
          <w:lang w:val="en-GB"/>
        </w:rPr>
        <w:t>技术服务合同</w:t>
      </w:r>
      <w:r>
        <w:rPr>
          <w:rFonts w:hint="eastAsia" w:ascii="华文中宋" w:hAnsi="华文中宋" w:eastAsia="华文中宋"/>
          <w:b/>
          <w:kern w:val="0"/>
          <w:sz w:val="32"/>
          <w:szCs w:val="32"/>
          <w:lang w:val="en-US" w:eastAsia="zh-CN"/>
        </w:rPr>
        <w:t>说明</w:t>
      </w:r>
    </w:p>
    <w:p>
      <w:pPr>
        <w:tabs>
          <w:tab w:val="left" w:pos="2400"/>
        </w:tabs>
        <w:wordWrap w:val="0"/>
        <w:spacing w:line="720" w:lineRule="exact"/>
        <w:rPr>
          <w:rFonts w:hint="eastAsia" w:ascii="华文中宋" w:hAnsi="华文中宋" w:eastAsia="华文中宋"/>
          <w:b/>
          <w:sz w:val="24"/>
          <w:szCs w:val="24"/>
        </w:rPr>
      </w:pPr>
      <w:r>
        <w:rPr>
          <w:rFonts w:hint="eastAsia" w:ascii="华文中宋" w:hAnsi="华文中宋" w:eastAsia="华文中宋"/>
          <w:b/>
          <w:sz w:val="24"/>
          <w:szCs w:val="24"/>
        </w:rPr>
        <w:t>项目名称：</w:t>
      </w:r>
      <w:permStart w:id="0" w:edGrp="everyone"/>
      <w:r>
        <w:rPr>
          <w:rFonts w:hint="eastAsia" w:ascii="华文中宋" w:hAnsi="华文中宋" w:eastAsia="华文中宋"/>
          <w:b/>
          <w:sz w:val="24"/>
          <w:szCs w:val="24"/>
        </w:rPr>
        <w:t>可调节负荷互动市场化支撑技术研究</w:t>
      </w:r>
    </w:p>
    <w:permEnd w:id="0"/>
    <w:p>
      <w:pPr>
        <w:tabs>
          <w:tab w:val="left" w:pos="2400"/>
        </w:tabs>
        <w:wordWrap w:val="0"/>
        <w:spacing w:line="720" w:lineRule="exact"/>
        <w:rPr>
          <w:rFonts w:hint="eastAsia" w:ascii="华文中宋" w:hAnsi="华文中宋" w:eastAsia="华文中宋"/>
          <w:b/>
          <w:sz w:val="24"/>
          <w:szCs w:val="24"/>
        </w:rPr>
      </w:pPr>
      <w:r>
        <w:rPr>
          <w:rFonts w:hint="eastAsia" w:ascii="华文中宋" w:hAnsi="华文中宋" w:eastAsia="华文中宋"/>
          <w:b/>
          <w:sz w:val="24"/>
          <w:szCs w:val="24"/>
        </w:rPr>
        <w:t>委托方（甲方）：</w:t>
      </w:r>
      <w:permStart w:id="1" w:edGrp="everyone"/>
      <w:r>
        <w:rPr>
          <w:rFonts w:hint="eastAsia" w:ascii="华文中宋" w:hAnsi="华文中宋" w:eastAsia="华文中宋"/>
          <w:b/>
          <w:sz w:val="24"/>
          <w:szCs w:val="24"/>
        </w:rPr>
        <w:t>华北电力大学</w:t>
      </w:r>
    </w:p>
    <w:permEnd w:id="1"/>
    <w:p>
      <w:pPr>
        <w:tabs>
          <w:tab w:val="left" w:pos="2400"/>
        </w:tabs>
        <w:wordWrap w:val="0"/>
        <w:spacing w:line="720" w:lineRule="exact"/>
        <w:rPr>
          <w:b/>
          <w:bCs/>
          <w:sz w:val="28"/>
          <w:szCs w:val="28"/>
        </w:rPr>
      </w:pPr>
      <w:r>
        <w:rPr>
          <w:rFonts w:hint="eastAsia" w:ascii="华文中宋" w:hAnsi="华文中宋" w:eastAsia="华文中宋"/>
          <w:b/>
          <w:sz w:val="24"/>
          <w:szCs w:val="24"/>
        </w:rPr>
        <w:t>受托方（乙方）：</w:t>
      </w:r>
      <w:permStart w:id="2" w:edGrp="everyone"/>
      <w:r>
        <w:rPr>
          <w:rFonts w:hint="eastAsia" w:ascii="华文中宋" w:hAnsi="华文中宋" w:eastAsia="华文中宋"/>
          <w:b/>
          <w:sz w:val="24"/>
          <w:szCs w:val="24"/>
        </w:rPr>
        <w:t>北京电安信科技有限公司</w:t>
      </w:r>
      <w:permEnd w:id="2"/>
    </w:p>
    <w:p>
      <w:pPr>
        <w:pStyle w:val="8"/>
        <w:numPr>
          <w:ilvl w:val="0"/>
          <w:numId w:val="1"/>
        </w:numPr>
        <w:ind w:firstLineChars="0"/>
        <w:rPr>
          <w:b/>
          <w:bCs/>
          <w:sz w:val="28"/>
          <w:szCs w:val="28"/>
        </w:rPr>
      </w:pPr>
      <w:r>
        <w:rPr>
          <w:rFonts w:hint="eastAsia"/>
          <w:b/>
          <w:bCs/>
          <w:sz w:val="28"/>
          <w:szCs w:val="28"/>
        </w:rPr>
        <w:t>合同目的、洽谈背景、具体承办人</w:t>
      </w:r>
    </w:p>
    <w:p>
      <w:pPr>
        <w:rPr>
          <w:b/>
          <w:bCs/>
          <w:sz w:val="28"/>
          <w:szCs w:val="28"/>
        </w:rPr>
      </w:pPr>
      <w:r>
        <w:rPr>
          <w:rFonts w:hint="eastAsia"/>
          <w:b/>
          <w:bCs/>
          <w:sz w:val="28"/>
          <w:szCs w:val="28"/>
        </w:rPr>
        <w:t>合同目的：</w:t>
      </w:r>
    </w:p>
    <w:p>
      <w:pPr>
        <w:ind w:firstLine="560" w:firstLineChars="200"/>
        <w:rPr>
          <w:sz w:val="28"/>
          <w:szCs w:val="28"/>
        </w:rPr>
      </w:pPr>
      <w:r>
        <w:rPr>
          <w:rFonts w:hint="eastAsia"/>
          <w:sz w:val="28"/>
          <w:szCs w:val="28"/>
        </w:rPr>
        <w:t>项目中涉及大量可调节负荷互动技术标准，需要耗费大量人力物力，为了保障项目进度安排，需要将本部分内容外委，具体外委任务主要是配合完成可调节负荷互动技术标准整理、市场化运行技术调研以及相关安全防护方案建议。</w:t>
      </w:r>
    </w:p>
    <w:p>
      <w:pPr>
        <w:rPr>
          <w:b/>
          <w:bCs/>
          <w:sz w:val="28"/>
          <w:szCs w:val="28"/>
        </w:rPr>
      </w:pPr>
      <w:r>
        <w:rPr>
          <w:rFonts w:hint="eastAsia"/>
          <w:b/>
          <w:bCs/>
          <w:sz w:val="28"/>
          <w:szCs w:val="28"/>
        </w:rPr>
        <w:t>洽谈背景：</w:t>
      </w:r>
    </w:p>
    <w:p>
      <w:pPr>
        <w:ind w:firstLine="560" w:firstLineChars="200"/>
        <w:rPr>
          <w:sz w:val="28"/>
          <w:szCs w:val="28"/>
        </w:rPr>
      </w:pPr>
      <w:r>
        <w:rPr>
          <w:rFonts w:hint="eastAsia"/>
          <w:sz w:val="28"/>
          <w:szCs w:val="28"/>
        </w:rPr>
        <w:t>双方已经完成初步的沟通和交流，对项目任务确认无误，且对项目承接方进行了实地调研和考察，具备完成项目的能力。</w:t>
      </w:r>
    </w:p>
    <w:p>
      <w:pPr>
        <w:rPr>
          <w:b/>
          <w:bCs/>
          <w:sz w:val="28"/>
          <w:szCs w:val="28"/>
        </w:rPr>
      </w:pPr>
      <w:r>
        <w:rPr>
          <w:rFonts w:hint="eastAsia"/>
          <w:b/>
          <w:bCs/>
          <w:sz w:val="28"/>
          <w:szCs w:val="28"/>
        </w:rPr>
        <w:t>具体承办人：</w:t>
      </w:r>
    </w:p>
    <w:p>
      <w:pPr>
        <w:ind w:firstLine="560" w:firstLineChars="200"/>
        <w:rPr>
          <w:sz w:val="28"/>
          <w:szCs w:val="28"/>
        </w:rPr>
      </w:pPr>
      <w:r>
        <w:rPr>
          <w:rFonts w:hint="eastAsia"/>
          <w:sz w:val="28"/>
          <w:szCs w:val="28"/>
        </w:rPr>
        <w:t>（1）甲方承办人：</w:t>
      </w:r>
      <w:permStart w:id="3" w:edGrp="everyone"/>
      <w:r>
        <w:rPr>
          <w:rFonts w:hint="eastAsia"/>
          <w:sz w:val="28"/>
          <w:szCs w:val="28"/>
        </w:rPr>
        <w:t xml:space="preserve">顾程镓 </w:t>
      </w:r>
      <w:permEnd w:id="3"/>
    </w:p>
    <w:p>
      <w:pPr>
        <w:ind w:firstLine="560" w:firstLineChars="200"/>
        <w:rPr>
          <w:rFonts w:hint="eastAsia"/>
          <w:sz w:val="28"/>
          <w:szCs w:val="28"/>
        </w:rPr>
      </w:pPr>
      <w:r>
        <w:rPr>
          <w:rFonts w:hint="eastAsia"/>
          <w:sz w:val="28"/>
          <w:szCs w:val="28"/>
        </w:rPr>
        <w:t>（2）乙方承办人：</w:t>
      </w:r>
      <w:permStart w:id="4" w:edGrp="everyone"/>
      <w:r>
        <w:rPr>
          <w:rFonts w:hint="eastAsia"/>
          <w:sz w:val="28"/>
          <w:szCs w:val="28"/>
        </w:rPr>
        <w:t xml:space="preserve"> 王珊</w:t>
      </w:r>
      <w:permEnd w:id="4"/>
    </w:p>
    <w:p>
      <w:pPr>
        <w:rPr>
          <w:b/>
          <w:bCs/>
          <w:sz w:val="28"/>
          <w:szCs w:val="28"/>
        </w:rPr>
      </w:pPr>
      <w:r>
        <w:rPr>
          <w:rFonts w:hint="eastAsia"/>
          <w:b/>
          <w:bCs/>
          <w:sz w:val="28"/>
          <w:szCs w:val="28"/>
        </w:rPr>
        <w:t>主要内容：</w:t>
      </w:r>
    </w:p>
    <w:p>
      <w:pPr>
        <w:ind w:firstLine="560" w:firstLineChars="200"/>
        <w:rPr>
          <w:rFonts w:hint="eastAsia"/>
          <w:sz w:val="28"/>
          <w:szCs w:val="28"/>
        </w:rPr>
      </w:pPr>
      <w:r>
        <w:rPr>
          <w:rFonts w:hint="eastAsia"/>
          <w:sz w:val="28"/>
          <w:szCs w:val="28"/>
        </w:rPr>
        <w:t>研究可调节负荷互动相关技术标准，分析国内外可调节和互动的应用案例；研究可调节负荷互动参与电网市场化运行的关键技术调研研究，分析并梳理代理购电对可调节负荷互动市场的影响；整理目前可用于可调节负荷互动的参与电网互动的安全防护技术方案。</w:t>
      </w:r>
    </w:p>
    <w:p>
      <w:pPr>
        <w:pStyle w:val="8"/>
        <w:numPr>
          <w:ilvl w:val="0"/>
          <w:numId w:val="1"/>
        </w:numPr>
        <w:ind w:firstLineChars="0"/>
        <w:rPr>
          <w:b/>
          <w:bCs/>
          <w:sz w:val="28"/>
          <w:szCs w:val="28"/>
        </w:rPr>
      </w:pPr>
      <w:r>
        <w:rPr>
          <w:rFonts w:hint="eastAsia"/>
          <w:b/>
          <w:bCs/>
          <w:sz w:val="28"/>
          <w:szCs w:val="28"/>
        </w:rPr>
        <w:t>合同对方主体资格、资信状况和履约能力</w:t>
      </w:r>
    </w:p>
    <w:p>
      <w:pPr>
        <w:ind w:firstLine="560" w:firstLineChars="200"/>
        <w:rPr>
          <w:rFonts w:hint="eastAsia"/>
          <w:sz w:val="28"/>
          <w:szCs w:val="28"/>
        </w:rPr>
      </w:pPr>
      <w:r>
        <w:rPr>
          <w:rFonts w:hint="eastAsia"/>
          <w:sz w:val="28"/>
          <w:szCs w:val="28"/>
        </w:rPr>
        <w:t>北京电安信科技有限公司成立于</w:t>
      </w:r>
      <w:r>
        <w:rPr>
          <w:sz w:val="28"/>
          <w:szCs w:val="28"/>
        </w:rPr>
        <w:t>2022年8月，注册资金100万元，是一家主要从事技术服务、技术咨询、技术开发等服务的公司，经营范围包括技术服务、技术开发、技术咨询、技术交流、技术转让、技术推广；软件开发；工程和技术研究和试验发展。公司现有高级职称人员3人、中级职称人员6人、初级职称人员8人、其他4人。公司管理能力强、管理经验丰富，具有履约能力。</w:t>
      </w:r>
    </w:p>
    <w:p>
      <w:pPr>
        <w:pStyle w:val="8"/>
        <w:numPr>
          <w:ilvl w:val="0"/>
          <w:numId w:val="1"/>
        </w:numPr>
        <w:ind w:firstLineChars="0"/>
        <w:rPr>
          <w:b/>
          <w:bCs/>
          <w:sz w:val="28"/>
          <w:szCs w:val="28"/>
        </w:rPr>
      </w:pPr>
      <w:r>
        <w:rPr>
          <w:rFonts w:hint="eastAsia"/>
          <w:b/>
          <w:bCs/>
          <w:sz w:val="28"/>
          <w:szCs w:val="28"/>
        </w:rPr>
        <w:t>可行性分析论证、风险评估与风险防控</w:t>
      </w:r>
      <w:r>
        <w:rPr>
          <w:rFonts w:hint="eastAsia"/>
          <w:b/>
          <w:bCs/>
          <w:sz w:val="28"/>
          <w:szCs w:val="28"/>
          <w:lang w:val="en-US" w:eastAsia="zh-CN"/>
        </w:rPr>
        <w:t xml:space="preserve"> </w:t>
      </w:r>
    </w:p>
    <w:p>
      <w:pPr>
        <w:ind w:firstLine="560" w:firstLineChars="200"/>
        <w:rPr>
          <w:b/>
          <w:bCs/>
          <w:sz w:val="28"/>
          <w:szCs w:val="28"/>
        </w:rPr>
      </w:pPr>
      <w:r>
        <w:rPr>
          <w:rFonts w:hint="eastAsia"/>
          <w:b/>
          <w:bCs/>
          <w:sz w:val="28"/>
          <w:szCs w:val="28"/>
        </w:rPr>
        <w:t>可行性分析论证：</w:t>
      </w:r>
    </w:p>
    <w:p>
      <w:pPr>
        <w:ind w:firstLine="560" w:firstLineChars="200"/>
        <w:rPr>
          <w:sz w:val="28"/>
          <w:szCs w:val="28"/>
        </w:rPr>
      </w:pPr>
      <w:r>
        <w:rPr>
          <w:rFonts w:hint="eastAsia"/>
          <w:sz w:val="28"/>
          <w:szCs w:val="28"/>
        </w:rPr>
        <w:t>项目目前已经完成双方的合作洽谈，双方对所负责的内容确认无误，北京电安信科技有限公司具备完成本项目的能力。并制定了相应的实施方案。其工作大纲如下：</w:t>
      </w:r>
    </w:p>
    <w:p>
      <w:pPr>
        <w:ind w:firstLine="560" w:firstLineChars="200"/>
        <w:rPr>
          <w:sz w:val="28"/>
          <w:szCs w:val="28"/>
        </w:rPr>
      </w:pPr>
      <w:r>
        <w:rPr>
          <w:rFonts w:hint="eastAsia"/>
          <w:sz w:val="28"/>
          <w:szCs w:val="28"/>
        </w:rPr>
        <w:t>（1）通过查阅国内外现有文献并结合对可调节负荷资源的实际调研，参考国内外相关领域已取得的成果和采用的研究方法，在总结已有实践工作的成效及存在的问题的基础之上构建</w:t>
      </w:r>
      <w:bookmarkStart w:id="0" w:name="_GoBack"/>
      <w:bookmarkEnd w:id="0"/>
      <w:r>
        <w:rPr>
          <w:rFonts w:hint="eastAsia"/>
          <w:sz w:val="28"/>
          <w:szCs w:val="28"/>
        </w:rPr>
        <w:t>适宜可调节负荷资源实际特点的研究思路，为开展下一步研究工作提供理论基础和实践依据。</w:t>
      </w:r>
    </w:p>
    <w:p>
      <w:pPr>
        <w:ind w:firstLine="560" w:firstLineChars="200"/>
        <w:rPr>
          <w:sz w:val="28"/>
          <w:szCs w:val="28"/>
        </w:rPr>
      </w:pPr>
      <w:r>
        <w:rPr>
          <w:rFonts w:hint="eastAsia"/>
          <w:sz w:val="28"/>
          <w:szCs w:val="28"/>
        </w:rPr>
        <w:t>（2）通过数据调研和分析调节需求，提出表征调节容量、调节速度、调节精度、调节时间尺度、调节成本、调节灵活性等的可调节负荷资源特征指标体系和相应的计算方法；在调研不同负荷实际调节能力的基础上，通过绘制调节前后的负荷运行曲线，分析水泥、钢铁、纺织、通用设备制造等工业负荷及蓄热电锅炉、电动汽车等典型民用负荷可调节特性；基于模糊综合评价的方法为不同特征指标赋予合理权重，综合评估可调节负荷资源的调节潜力，为可调节资源开发规划提供指导。</w:t>
      </w:r>
    </w:p>
    <w:p>
      <w:pPr>
        <w:ind w:firstLine="560" w:firstLineChars="200"/>
        <w:rPr>
          <w:sz w:val="28"/>
          <w:szCs w:val="28"/>
        </w:rPr>
      </w:pPr>
      <w:r>
        <w:rPr>
          <w:rFonts w:hint="eastAsia"/>
          <w:sz w:val="28"/>
          <w:szCs w:val="28"/>
        </w:rPr>
        <w:t>（3）基于可调节负荷资源的自身特征指标采用灵敏度分析、聚类分析等技术对可调节负荷资源进行归类和划分，构建多维度可调节负荷资源池。在此基础上，考虑可调节负荷资源的市场化关键技术，具体包括可调节负荷互动投资主体数量和财务杠杆，研究具备可持续性和风险分散性的可调节负荷资源池建设资金来源。</w:t>
      </w:r>
    </w:p>
    <w:p>
      <w:pPr>
        <w:ind w:firstLine="560" w:firstLineChars="200"/>
        <w:rPr>
          <w:sz w:val="28"/>
          <w:szCs w:val="28"/>
        </w:rPr>
      </w:pPr>
      <w:r>
        <w:rPr>
          <w:rFonts w:hint="eastAsia"/>
          <w:sz w:val="28"/>
          <w:szCs w:val="28"/>
        </w:rPr>
        <w:t>（5）针对建立的不同维度可调节负荷资源池，考虑资金的时间价值和未来现金流的变现等因素，基于建设成本与市场价值对可调节负荷资源池进行价值评估，并提出相关安全防护方案建议。</w:t>
      </w:r>
    </w:p>
    <w:p>
      <w:pPr>
        <w:ind w:firstLine="560" w:firstLineChars="200"/>
        <w:rPr>
          <w:sz w:val="28"/>
          <w:szCs w:val="28"/>
        </w:rPr>
      </w:pPr>
      <w:r>
        <w:rPr>
          <w:rFonts w:hint="eastAsia"/>
          <w:sz w:val="28"/>
          <w:szCs w:val="28"/>
        </w:rPr>
        <w:t>（6）结合项目实证案例分析，完成《可调节负荷互动市场化支撑技术研究研究报告》，并对项目开展过程中对形成的成果以报论文、专利、国家标准、软件著作权等形式固化，所形成的相关成果属于华北电力大学。</w:t>
      </w:r>
    </w:p>
    <w:p>
      <w:pPr>
        <w:pStyle w:val="8"/>
        <w:ind w:left="720" w:firstLine="0" w:firstLineChars="0"/>
        <w:rPr>
          <w:b/>
          <w:bCs/>
          <w:sz w:val="28"/>
          <w:szCs w:val="28"/>
        </w:rPr>
      </w:pPr>
      <w:r>
        <w:rPr>
          <w:rFonts w:hint="eastAsia"/>
          <w:b/>
          <w:bCs/>
          <w:sz w:val="28"/>
          <w:szCs w:val="28"/>
        </w:rPr>
        <w:t>风险评估：</w:t>
      </w:r>
    </w:p>
    <w:p>
      <w:pPr>
        <w:ind w:firstLine="560" w:firstLineChars="200"/>
        <w:rPr>
          <w:rFonts w:hint="eastAsia"/>
          <w:sz w:val="28"/>
          <w:szCs w:val="28"/>
        </w:rPr>
      </w:pPr>
      <w:r>
        <w:rPr>
          <w:rFonts w:hint="eastAsia"/>
          <w:sz w:val="28"/>
          <w:szCs w:val="28"/>
        </w:rPr>
        <w:t>针对该外委项目，我方已经进行了详细的论证和分析，不具备执行层面的风险。</w:t>
      </w:r>
    </w:p>
    <w:p>
      <w:pPr>
        <w:pStyle w:val="8"/>
        <w:ind w:left="720" w:firstLine="0" w:firstLineChars="0"/>
        <w:rPr>
          <w:b/>
          <w:bCs/>
          <w:sz w:val="28"/>
          <w:szCs w:val="28"/>
        </w:rPr>
      </w:pPr>
      <w:r>
        <w:rPr>
          <w:rFonts w:hint="eastAsia"/>
          <w:b/>
          <w:bCs/>
          <w:sz w:val="28"/>
          <w:szCs w:val="28"/>
        </w:rPr>
        <w:t>风险防控：</w:t>
      </w:r>
    </w:p>
    <w:p>
      <w:pPr>
        <w:ind w:firstLine="560" w:firstLineChars="200"/>
        <w:rPr>
          <w:rFonts w:hint="eastAsia"/>
          <w:sz w:val="28"/>
          <w:szCs w:val="28"/>
        </w:rPr>
      </w:pPr>
      <w:r>
        <w:rPr>
          <w:rFonts w:hint="eastAsia"/>
          <w:sz w:val="28"/>
          <w:szCs w:val="28"/>
        </w:rPr>
        <w:t>我方针对该外委项目成立了项目风险防控小组，采用月报方式进行管控，保障项目顺利进行。</w:t>
      </w:r>
    </w:p>
    <w:p>
      <w:pPr>
        <w:pStyle w:val="8"/>
        <w:numPr>
          <w:ilvl w:val="0"/>
          <w:numId w:val="1"/>
        </w:numPr>
        <w:ind w:firstLineChars="0"/>
        <w:rPr>
          <w:b/>
          <w:bCs/>
          <w:sz w:val="28"/>
          <w:szCs w:val="28"/>
        </w:rPr>
      </w:pPr>
      <w:r>
        <w:rPr>
          <w:rFonts w:hint="eastAsia"/>
          <w:b/>
          <w:bCs/>
          <w:sz w:val="28"/>
          <w:szCs w:val="28"/>
          <w:lang w:val="en-US" w:eastAsia="zh-CN"/>
        </w:rPr>
        <w:t>合同签署代表</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Chars="0" w:firstLine="840" w:firstLineChars="300"/>
        <w:textAlignment w:val="auto"/>
        <w:rPr>
          <w:rFonts w:hint="eastAsia" w:ascii="等线" w:hAnsi="等线" w:eastAsia="等线" w:cs="等线"/>
          <w:b/>
          <w:bCs/>
          <w:sz w:val="28"/>
          <w:szCs w:val="28"/>
          <w:lang w:eastAsia="zh-CN"/>
        </w:rPr>
      </w:pPr>
      <w:r>
        <w:rPr>
          <w:rFonts w:hint="eastAsia" w:ascii="等线" w:hAnsi="等线" w:eastAsia="等线" w:cs="等线"/>
          <w:b w:val="0"/>
          <w:bCs/>
          <w:sz w:val="28"/>
          <w:szCs w:val="28"/>
        </w:rPr>
        <w:t>北京电安信科技有限公司</w:t>
      </w:r>
      <w:r>
        <w:rPr>
          <w:rFonts w:hint="eastAsia" w:ascii="等线" w:hAnsi="等线" w:eastAsia="等线" w:cs="等线"/>
          <w:b w:val="0"/>
          <w:bCs/>
          <w:sz w:val="28"/>
          <w:szCs w:val="28"/>
          <w:lang w:val="en-US" w:eastAsia="zh-CN"/>
        </w:rPr>
        <w:t>法定代表人</w:t>
      </w:r>
      <w:r>
        <w:rPr>
          <w:rFonts w:hint="eastAsia" w:ascii="等线" w:hAnsi="等线" w:eastAsia="等线" w:cs="等线"/>
          <w:b w:val="0"/>
          <w:bCs/>
          <w:i w:val="0"/>
          <w:iCs w:val="0"/>
          <w:caps w:val="0"/>
          <w:color w:val="333333"/>
          <w:spacing w:val="0"/>
          <w:sz w:val="28"/>
          <w:szCs w:val="28"/>
          <w:shd w:val="clear" w:fill="FFFFFF"/>
          <w:lang w:eastAsia="zh-CN"/>
        </w:rPr>
        <w:t>。</w:t>
      </w:r>
    </w:p>
    <w:p>
      <w:pPr>
        <w:ind w:firstLine="560" w:firstLineChars="200"/>
        <w:rPr>
          <w:rFonts w:hint="eastAsia"/>
          <w:sz w:val="28"/>
          <w:szCs w:val="28"/>
        </w:rPr>
      </w:pPr>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auto"/>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B855CB"/>
    <w:multiLevelType w:val="multilevel"/>
    <w:tmpl w:val="03B855C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iNTJkMTQxMzIxODM3MzFmOTMyYTZiODMxMTlmZTIifQ=="/>
  </w:docVars>
  <w:rsids>
    <w:rsidRoot w:val="00044CDE"/>
    <w:rsid w:val="00044CDE"/>
    <w:rsid w:val="00081701"/>
    <w:rsid w:val="000D47F1"/>
    <w:rsid w:val="000F43F1"/>
    <w:rsid w:val="001A3082"/>
    <w:rsid w:val="001A48EE"/>
    <w:rsid w:val="00215141"/>
    <w:rsid w:val="00297A7A"/>
    <w:rsid w:val="002B4B26"/>
    <w:rsid w:val="002E7771"/>
    <w:rsid w:val="00310DED"/>
    <w:rsid w:val="00351F19"/>
    <w:rsid w:val="003B38E3"/>
    <w:rsid w:val="004172A2"/>
    <w:rsid w:val="004314AC"/>
    <w:rsid w:val="00595768"/>
    <w:rsid w:val="006973FD"/>
    <w:rsid w:val="007965D3"/>
    <w:rsid w:val="007A3BF4"/>
    <w:rsid w:val="007C653E"/>
    <w:rsid w:val="009E6FF7"/>
    <w:rsid w:val="00B42E99"/>
    <w:rsid w:val="00B57EFC"/>
    <w:rsid w:val="00BB4B93"/>
    <w:rsid w:val="00C31B2A"/>
    <w:rsid w:val="00C644B3"/>
    <w:rsid w:val="00DC6445"/>
    <w:rsid w:val="00DD6783"/>
    <w:rsid w:val="00E352CF"/>
    <w:rsid w:val="00EC7CBB"/>
    <w:rsid w:val="19AF3D8F"/>
    <w:rsid w:val="3DFB4A81"/>
    <w:rsid w:val="53EC5A5E"/>
    <w:rsid w:val="66F13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样式1"/>
    <w:basedOn w:val="1"/>
    <w:uiPriority w:val="0"/>
    <w:pPr>
      <w:adjustRightInd w:val="0"/>
      <w:spacing w:line="430" w:lineRule="exact"/>
      <w:ind w:left="180" w:leftChars="75" w:firstLine="300" w:firstLineChars="125"/>
    </w:pPr>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1413</Words>
  <Characters>1418</Characters>
  <Lines>9</Lines>
  <Paragraphs>2</Paragraphs>
  <TotalTime>1</TotalTime>
  <ScaleCrop>false</ScaleCrop>
  <LinksUpToDate>false</LinksUpToDate>
  <CharactersWithSpaces>1420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2022-11-03T06:00:00Z</dcterms:created>
  <dc:creator>li bin</dc:creator>
  <cp:lastModifiedBy>Administrator</cp:lastModifiedBy>
  <dcterms:modified xsi:type="dcterms:W3CDTF">2022-11-03T09:44:15Z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0CF0C31874484C20BE1E0A5EB8BB6775</vt:lpwstr>
  </property>
</Properties>
</file>